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D651D36"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5A5403">
        <w:rPr>
          <w:rFonts w:cs="Arial"/>
          <w:bCs/>
          <w:sz w:val="28"/>
        </w:rPr>
        <w:t>#99</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5A5403">
        <w:rPr>
          <w:rFonts w:eastAsia="MS Mincho" w:cs="Arial"/>
          <w:bCs/>
          <w:sz w:val="28"/>
          <w:szCs w:val="24"/>
          <w:lang w:val="en-US"/>
        </w:rPr>
        <w:t>R1-1912123</w:t>
      </w:r>
    </w:p>
    <w:p w14:paraId="6D9A9A80" w14:textId="4523259E" w:rsidR="006517D0" w:rsidRPr="009A4147" w:rsidRDefault="005A540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 November 18</w:t>
      </w:r>
      <w:r w:rsidRPr="00F1049B">
        <w:rPr>
          <w:rFonts w:cs="Arial"/>
          <w:bCs/>
          <w:sz w:val="28"/>
          <w:vertAlign w:val="superscript"/>
        </w:rPr>
        <w:t>th</w:t>
      </w:r>
      <w:r>
        <w:rPr>
          <w:rFonts w:cs="Arial"/>
          <w:bCs/>
          <w:sz w:val="28"/>
        </w:rPr>
        <w:t xml:space="preserve"> – 22</w:t>
      </w:r>
      <w:r w:rsidRPr="008353E9">
        <w:rPr>
          <w:rFonts w:cs="Arial"/>
          <w:bCs/>
          <w:sz w:val="28"/>
          <w:vertAlign w:val="superscript"/>
        </w:rPr>
        <w:t>nd</w:t>
      </w:r>
      <w:r w:rsidRPr="00B5587F">
        <w:rPr>
          <w:rFonts w:cs="Arial"/>
          <w:bCs/>
          <w:sz w:val="28"/>
        </w:rPr>
        <w:t>,</w:t>
      </w:r>
      <w:r>
        <w:rPr>
          <w:rFonts w:cs="Arial"/>
          <w:bCs/>
          <w:sz w:val="28"/>
        </w:rPr>
        <w:t xml:space="preserve"> </w:t>
      </w:r>
      <w:r w:rsidR="0073302B">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C87476D"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66CCD">
        <w:rPr>
          <w:rFonts w:cs="Arial"/>
          <w:bCs/>
          <w:sz w:val="28"/>
          <w:szCs w:val="24"/>
          <w:lang w:val="en-US" w:eastAsia="zh-TW"/>
        </w:rPr>
        <w:t>7.2.5.2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2F6BE61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66CCD" w:rsidRPr="00766CCD">
        <w:rPr>
          <w:rFonts w:cs="Arial"/>
          <w:bCs/>
          <w:sz w:val="28"/>
          <w:szCs w:val="24"/>
          <w:lang w:val="en-US" w:eastAsia="zh-TW"/>
        </w:rPr>
        <w:t>Physical layer control procedure</w:t>
      </w:r>
      <w:r w:rsidR="00766CCD">
        <w:rPr>
          <w:rFonts w:cs="Arial"/>
          <w:bCs/>
          <w:sz w:val="28"/>
          <w:szCs w:val="24"/>
          <w:lang w:val="en-US" w:eastAsia="zh-TW"/>
        </w:rPr>
        <w:t xml:space="preserve"> </w:t>
      </w:r>
      <w:r w:rsidR="00924197">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C2013BE" w:rsidR="00FC197A" w:rsidRPr="00FE0E3F" w:rsidRDefault="00FC197A" w:rsidP="0016175A">
      <w:pPr>
        <w:pStyle w:val="Header"/>
        <w:tabs>
          <w:tab w:val="center" w:pos="4536"/>
          <w:tab w:val="right" w:pos="8280"/>
          <w:tab w:val="right" w:pos="9781"/>
        </w:tabs>
        <w:spacing w:after="120"/>
        <w:ind w:right="-57"/>
        <w:jc w:val="both"/>
        <w:rPr>
          <w:rFonts w:cs="Arial"/>
          <w:b w:val="0"/>
          <w:bCs/>
          <w:sz w:val="20"/>
          <w:lang w:val="en-US" w:eastAsia="zh-TW"/>
        </w:rPr>
      </w:pPr>
      <w:r w:rsidRPr="00FE0E3F">
        <w:rPr>
          <w:rFonts w:cs="Arial"/>
          <w:b w:val="0"/>
          <w:bCs/>
          <w:sz w:val="20"/>
          <w:lang w:val="en-US" w:eastAsia="zh-TW"/>
        </w:rPr>
        <w:t>A RAN3</w:t>
      </w:r>
      <w:r w:rsidR="00C87B19" w:rsidRPr="00FE0E3F">
        <w:rPr>
          <w:rFonts w:cs="Arial"/>
          <w:b w:val="0"/>
          <w:bCs/>
          <w:sz w:val="20"/>
          <w:lang w:val="en-US" w:eastAsia="zh-TW"/>
        </w:rPr>
        <w:t xml:space="preserve">-led </w:t>
      </w:r>
      <w:r w:rsidRPr="00FE0E3F">
        <w:rPr>
          <w:rFonts w:cs="Arial"/>
          <w:b w:val="0"/>
          <w:bCs/>
          <w:sz w:val="20"/>
          <w:lang w:val="en-US" w:eastAsia="zh-TW"/>
        </w:rPr>
        <w:t>Study</w:t>
      </w:r>
      <w:r w:rsidR="00C87B19" w:rsidRPr="00FE0E3F">
        <w:rPr>
          <w:rFonts w:cs="Arial"/>
          <w:b w:val="0"/>
          <w:bCs/>
          <w:sz w:val="20"/>
          <w:lang w:val="en-US" w:eastAsia="zh-TW"/>
        </w:rPr>
        <w:t xml:space="preserve"> Item on Rel-16 enhancements for N</w:t>
      </w:r>
      <w:r w:rsidRPr="00FE0E3F">
        <w:rPr>
          <w:rFonts w:cs="Arial"/>
          <w:b w:val="0"/>
          <w:bCs/>
          <w:sz w:val="20"/>
          <w:lang w:val="en-US" w:eastAsia="zh-TW"/>
        </w:rPr>
        <w:t xml:space="preserve">R-NTN </w:t>
      </w:r>
      <w:r w:rsidR="00C87B19" w:rsidRPr="00FE0E3F">
        <w:rPr>
          <w:rFonts w:cs="Arial"/>
          <w:b w:val="0"/>
          <w:bCs/>
          <w:sz w:val="20"/>
          <w:lang w:val="en-US" w:eastAsia="zh-TW"/>
        </w:rPr>
        <w:t xml:space="preserve">was approved at RAN Plenary #80 [1]. </w:t>
      </w:r>
      <w:r w:rsidRPr="00FE0E3F">
        <w:rPr>
          <w:rFonts w:cs="Arial"/>
          <w:b w:val="0"/>
          <w:bCs/>
          <w:sz w:val="20"/>
          <w:lang w:val="en-US" w:eastAsia="zh-TW"/>
        </w:rPr>
        <w:t>The study item pha</w:t>
      </w:r>
      <w:r w:rsidR="00575BB0" w:rsidRPr="00FE0E3F">
        <w:rPr>
          <w:rFonts w:cs="Arial"/>
          <w:b w:val="0"/>
          <w:bCs/>
          <w:sz w:val="20"/>
          <w:lang w:val="en-US" w:eastAsia="zh-TW"/>
        </w:rPr>
        <w:t>se has identified range of expec</w:t>
      </w:r>
      <w:r w:rsidRPr="00FE0E3F">
        <w:rPr>
          <w:rFonts w:cs="Arial"/>
          <w:b w:val="0"/>
          <w:bCs/>
          <w:sz w:val="20"/>
          <w:lang w:val="en-US" w:eastAsia="zh-TW"/>
        </w:rPr>
        <w:t xml:space="preserve">ted values for the </w:t>
      </w:r>
      <w:r w:rsidR="00526A3E" w:rsidRPr="00FE0E3F">
        <w:rPr>
          <w:rFonts w:cs="Arial"/>
          <w:b w:val="0"/>
          <w:bCs/>
          <w:sz w:val="20"/>
          <w:lang w:val="en-US" w:eastAsia="zh-TW"/>
        </w:rPr>
        <w:t xml:space="preserve">Round Trip Time (RTT) </w:t>
      </w:r>
      <w:r w:rsidRPr="00FE0E3F">
        <w:rPr>
          <w:rFonts w:cs="Arial"/>
          <w:b w:val="0"/>
          <w:bCs/>
          <w:sz w:val="20"/>
          <w:lang w:val="en-US" w:eastAsia="zh-TW"/>
        </w:rPr>
        <w:t xml:space="preserve">for the considered NR-NTN deployment scenarios [2, 3]. Solutions in the satellite and the UE will be required to compensate and correct the impact of </w:t>
      </w:r>
      <w:r w:rsidR="00526A3E" w:rsidRPr="00FE0E3F">
        <w:rPr>
          <w:rFonts w:cs="Arial"/>
          <w:b w:val="0"/>
          <w:bCs/>
          <w:sz w:val="20"/>
          <w:lang w:val="en-US" w:eastAsia="zh-TW"/>
        </w:rPr>
        <w:t xml:space="preserve">RTT </w:t>
      </w:r>
      <w:r w:rsidRPr="00FE0E3F">
        <w:rPr>
          <w:rFonts w:cs="Arial"/>
          <w:b w:val="0"/>
          <w:bCs/>
          <w:sz w:val="20"/>
          <w:lang w:val="en-US" w:eastAsia="zh-TW"/>
        </w:rPr>
        <w:t xml:space="preserve">during initial NR-NTN cell acces, where the </w:t>
      </w:r>
      <w:r w:rsidR="00526A3E" w:rsidRPr="00FE0E3F">
        <w:rPr>
          <w:rFonts w:cs="Arial"/>
          <w:b w:val="0"/>
          <w:bCs/>
          <w:sz w:val="20"/>
          <w:lang w:val="en-US" w:eastAsia="zh-TW"/>
        </w:rPr>
        <w:t xml:space="preserve">transmission timing </w:t>
      </w:r>
      <w:r w:rsidRPr="00FE0E3F">
        <w:rPr>
          <w:rFonts w:cs="Arial"/>
          <w:b w:val="0"/>
          <w:bCs/>
          <w:sz w:val="20"/>
          <w:lang w:val="en-US" w:eastAsia="zh-TW"/>
        </w:rPr>
        <w:t>can be most significant.</w:t>
      </w:r>
    </w:p>
    <w:p w14:paraId="743C3B64" w14:textId="2A50F887" w:rsidR="00FC197A" w:rsidRPr="00FE0E3F" w:rsidRDefault="00640116" w:rsidP="00D11460">
      <w:pPr>
        <w:pStyle w:val="Header"/>
        <w:tabs>
          <w:tab w:val="center" w:pos="4536"/>
          <w:tab w:val="right" w:pos="8280"/>
          <w:tab w:val="right" w:pos="9781"/>
        </w:tabs>
        <w:spacing w:after="120"/>
        <w:ind w:right="-57"/>
        <w:jc w:val="both"/>
        <w:rPr>
          <w:rFonts w:cs="Arial"/>
          <w:b w:val="0"/>
          <w:bCs/>
          <w:sz w:val="20"/>
          <w:lang w:val="en-US" w:eastAsia="zh-TW"/>
        </w:rPr>
      </w:pPr>
      <w:r w:rsidRPr="00FE0E3F">
        <w:rPr>
          <w:rFonts w:cs="Arial"/>
          <w:b w:val="0"/>
          <w:bCs/>
          <w:sz w:val="20"/>
          <w:lang w:val="en-US" w:eastAsia="zh-TW"/>
        </w:rPr>
        <w:t xml:space="preserve">This contribution aims to discuss </w:t>
      </w:r>
      <w:r w:rsidR="003E241D" w:rsidRPr="00FE0E3F">
        <w:rPr>
          <w:rFonts w:cs="Arial"/>
          <w:b w:val="0"/>
          <w:bCs/>
          <w:sz w:val="20"/>
          <w:lang w:val="en-US" w:eastAsia="zh-TW"/>
        </w:rPr>
        <w:t>Physical layer control procedure in NR-NTN</w:t>
      </w:r>
      <w:r w:rsidR="00FC197A" w:rsidRPr="00FE0E3F">
        <w:rPr>
          <w:rFonts w:cs="Arial"/>
          <w:b w:val="0"/>
          <w:bCs/>
          <w:sz w:val="20"/>
          <w:lang w:val="en-US" w:eastAsia="zh-TW"/>
        </w:rPr>
        <w:t>.</w:t>
      </w:r>
    </w:p>
    <w:p w14:paraId="1A38FBB9" w14:textId="77777777" w:rsidR="00984413" w:rsidRPr="00FE0E3F" w:rsidRDefault="00984413" w:rsidP="005934C4">
      <w:pPr>
        <w:pStyle w:val="BodyText"/>
        <w:rPr>
          <w:rFonts w:ascii="Arial" w:hAnsi="Arial" w:cs="Arial"/>
          <w:lang w:eastAsia="ko-KR"/>
        </w:rPr>
      </w:pPr>
      <w:bookmarkStart w:id="2" w:name="_Ref481671177"/>
    </w:p>
    <w:p w14:paraId="2CF593CA" w14:textId="72A06872" w:rsidR="00123A37" w:rsidRDefault="007531CF" w:rsidP="00123A37">
      <w:pPr>
        <w:pStyle w:val="Heading1"/>
      </w:pPr>
      <w:r>
        <w:t xml:space="preserve">Discussion on </w:t>
      </w:r>
      <w:r w:rsidR="00123A37">
        <w:t>UL Power control</w:t>
      </w:r>
      <w:r>
        <w:t xml:space="preserve"> for NTN</w:t>
      </w:r>
    </w:p>
    <w:p w14:paraId="2852000B" w14:textId="459021F6" w:rsidR="00913C79" w:rsidRPr="00003528" w:rsidRDefault="0022456E" w:rsidP="00123A37">
      <w:pPr>
        <w:pStyle w:val="BodyText"/>
        <w:rPr>
          <w:rFonts w:ascii="Arial" w:eastAsiaTheme="minorEastAsia" w:hAnsi="Arial" w:cs="Arial"/>
        </w:rPr>
      </w:pPr>
      <w:r w:rsidRPr="00FE0E3F">
        <w:rPr>
          <w:rFonts w:ascii="Arial" w:hAnsi="Arial" w:cs="Arial"/>
          <w:lang w:eastAsia="ko-KR"/>
        </w:rPr>
        <w:t xml:space="preserve">With long RTD the effectiveness of closed-loop UL power control </w:t>
      </w:r>
      <w:r w:rsidR="00003528">
        <w:rPr>
          <w:rFonts w:ascii="Arial" w:hAnsi="Arial" w:cs="Arial"/>
          <w:lang w:eastAsia="ko-KR"/>
        </w:rPr>
        <w:t>can be limited due to the long satellite RTD (i.e. GEO scenarios)  and the fact that a UE may transmit at near maximum power without much power headroom available (i.e. in LEO scenarios in S band). A simpler way to do UL power control is open-lopp based on path loss measurements at the UE with open-loop parameters indicated by the gNB. T</w:t>
      </w:r>
      <w:r w:rsidR="00003528" w:rsidRPr="00FE0E3F">
        <w:rPr>
          <w:rFonts w:ascii="Arial" w:hAnsi="Arial" w:cs="Arial"/>
          <w:lang w:eastAsia="ko-KR"/>
        </w:rPr>
        <w:t xml:space="preserve">he </w:t>
      </w:r>
      <w:r w:rsidR="00CA7457" w:rsidRPr="00FE0E3F">
        <w:rPr>
          <w:rFonts w:ascii="Arial" w:hAnsi="Arial" w:cs="Arial"/>
          <w:lang w:eastAsia="ko-KR"/>
        </w:rPr>
        <w:t xml:space="preserve">UE can adjust transmit power by using open loop UL power control parameters power offset P0 and fractional compensator factor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00CA7457" w:rsidRPr="00FE0E3F">
        <w:rPr>
          <w:rFonts w:ascii="Arial" w:eastAsiaTheme="minorEastAsia" w:hAnsi="Arial" w:cs="Arial"/>
        </w:rPr>
        <w:t xml:space="preserve"> in transmit power formula below when accessing the NTN cell/beam or switching beam.</w:t>
      </w:r>
      <w:r w:rsidR="00F90431" w:rsidRPr="00FE0E3F">
        <w:rPr>
          <w:rFonts w:ascii="Arial" w:eastAsiaTheme="minorEastAsia" w:hAnsi="Arial" w:cs="Arial"/>
        </w:rPr>
        <w:t xml:space="preserve"> The parameter </w:t>
      </w:r>
      <w:r w:rsidR="00F90431" w:rsidRPr="00FE0E3F">
        <w:rPr>
          <w:rFonts w:ascii="Arial" w:hAnsi="Arial" w:cs="Arial"/>
          <w:lang w:eastAsia="ko-KR"/>
        </w:rPr>
        <w:t xml:space="preserve">power offset P0 and fractional compensator factor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00F90431" w:rsidRPr="00FE0E3F">
        <w:rPr>
          <w:rFonts w:ascii="Arial" w:eastAsiaTheme="minorEastAsia" w:hAnsi="Arial" w:cs="Arial"/>
        </w:rPr>
        <w:t xml:space="preserve"> may be assumed to be beam specific and indicated via SIB in NTN. The UE may make path loss measurements and adjust its transmit power using P0 and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00F90431" w:rsidRPr="00FE0E3F">
        <w:rPr>
          <w:rFonts w:ascii="Arial" w:eastAsiaTheme="minorEastAsia" w:hAnsi="Arial" w:cs="Arial"/>
        </w:rPr>
        <w:t xml:space="preserve"> parameters. In case of LEO where beam switching may happen frequently, it may not be desirable to read SIB at every beam switch to obtain the beam-specific open loop UL power control parameters. One way would be that these parameters will be indicated for a list of neighbouring beams via SIB. This may lead to higher system information as each beam may need to schedule such system information. Another way is for the UE to obtain these parameters for all the beams via configuration and </w:t>
      </w:r>
      <w:r w:rsidR="00763BFB" w:rsidRPr="00FE0E3F">
        <w:rPr>
          <w:rFonts w:ascii="Arial" w:eastAsiaTheme="minorEastAsia" w:hAnsi="Arial" w:cs="Arial"/>
        </w:rPr>
        <w:t xml:space="preserve">select </w:t>
      </w:r>
      <w:r w:rsidR="00F90431" w:rsidRPr="00FE0E3F">
        <w:rPr>
          <w:rFonts w:ascii="Arial" w:eastAsiaTheme="minorEastAsia" w:hAnsi="Arial" w:cs="Arial"/>
        </w:rPr>
        <w:t xml:space="preserve">which P0 and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00F90431" w:rsidRPr="00FE0E3F">
        <w:rPr>
          <w:rFonts w:ascii="Arial" w:eastAsiaTheme="minorEastAsia" w:hAnsi="Arial" w:cs="Arial"/>
        </w:rPr>
        <w:t xml:space="preserve"> parameters need to be used based on satellite ephemeris and trajectory</w:t>
      </w:r>
      <w:r w:rsidR="00763BFB" w:rsidRPr="00FE0E3F">
        <w:rPr>
          <w:rFonts w:ascii="Arial" w:eastAsiaTheme="minorEastAsia" w:hAnsi="Arial" w:cs="Arial"/>
        </w:rPr>
        <w:t xml:space="preserve"> or based on re-synchronisation (i.e. beam-specific SSB detection when switching beam)</w:t>
      </w:r>
      <w:r w:rsidR="00F90431" w:rsidRPr="00FE0E3F">
        <w:rPr>
          <w:rFonts w:ascii="Arial" w:eastAsiaTheme="minorEastAsia" w:hAnsi="Arial" w:cs="Arial"/>
        </w:rPr>
        <w:t xml:space="preserve">. </w:t>
      </w:r>
      <w:r w:rsidR="00851407" w:rsidRPr="00851407">
        <w:rPr>
          <w:rFonts w:ascii="Arial" w:eastAsiaTheme="minorEastAsia" w:hAnsi="Arial" w:cs="Arial"/>
        </w:rPr>
        <w:t xml:space="preserve">Fractional power control compensation is mainly required for cases where the pathloss within the cell vary significantly. For each beam spot, the pathloss </w:t>
      </w:r>
      <w:r w:rsidR="00851407">
        <w:rPr>
          <w:rFonts w:ascii="Arial" w:eastAsiaTheme="minorEastAsia" w:hAnsi="Arial" w:cs="Arial"/>
        </w:rPr>
        <w:t>is not expected to vary</w:t>
      </w:r>
      <w:r w:rsidR="00851407" w:rsidRPr="00851407">
        <w:rPr>
          <w:rFonts w:ascii="Arial" w:eastAsiaTheme="minorEastAsia" w:hAnsi="Arial" w:cs="Arial"/>
        </w:rPr>
        <w:t xml:space="preserve"> significantly. </w:t>
      </w:r>
      <w:r w:rsidR="003925B1">
        <w:rPr>
          <w:rFonts w:ascii="Arial" w:eastAsiaTheme="minorEastAsia" w:hAnsi="Arial" w:cs="Arial"/>
        </w:rPr>
        <w:t xml:space="preserve">Therefore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00851407">
        <w:rPr>
          <w:rFonts w:ascii="Arial" w:eastAsiaTheme="minorEastAsia" w:hAnsi="Arial" w:cs="Arial"/>
        </w:rPr>
        <w:t xml:space="preserve">parameters </w:t>
      </w:r>
      <w:r w:rsidR="003925B1">
        <w:rPr>
          <w:rFonts w:ascii="Arial" w:eastAsiaTheme="minorEastAsia" w:hAnsi="Arial" w:cs="Arial"/>
        </w:rPr>
        <w:t xml:space="preserve">are </w:t>
      </w:r>
      <w:r w:rsidR="00851407">
        <w:rPr>
          <w:rFonts w:ascii="Arial" w:eastAsiaTheme="minorEastAsia" w:hAnsi="Arial" w:cs="Arial"/>
        </w:rPr>
        <w:t xml:space="preserve"> specific but not likely to change significantly between UEs in a beam or between beams. </w:t>
      </w:r>
      <w:r w:rsidR="003925B1">
        <w:rPr>
          <w:rFonts w:ascii="Arial" w:eastAsiaTheme="minorEastAsia" w:hAnsi="Arial" w:cs="Arial"/>
        </w:rPr>
        <w:t xml:space="preserve">To reduce signalling overhead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003925B1">
        <w:rPr>
          <w:rFonts w:ascii="Arial" w:eastAsiaTheme="minorEastAsia" w:hAnsi="Arial" w:cs="Arial"/>
        </w:rPr>
        <w:t xml:space="preserve"> parameters</w:t>
      </w:r>
      <w:r w:rsidR="00851407">
        <w:rPr>
          <w:rFonts w:ascii="Arial" w:eastAsiaTheme="minorEastAsia" w:hAnsi="Arial" w:cs="Arial"/>
        </w:rPr>
        <w:t xml:space="preserve"> could be fixed </w:t>
      </w:r>
      <w:r w:rsidR="00851407" w:rsidRPr="00851407">
        <w:rPr>
          <w:rFonts w:ascii="Arial" w:eastAsiaTheme="minorEastAsia" w:hAnsi="Arial" w:cs="Arial"/>
        </w:rPr>
        <w:t>for all beams</w:t>
      </w:r>
      <w:r w:rsidR="00851407">
        <w:rPr>
          <w:rFonts w:ascii="Arial" w:eastAsiaTheme="minorEastAsia" w:hAnsi="Arial" w:cs="Arial"/>
        </w:rPr>
        <w:t xml:space="preserve">. The parameter </w:t>
      </w:r>
      <w:r w:rsidR="003925B1" w:rsidRPr="00FE0E3F">
        <w:rPr>
          <w:rFonts w:ascii="Arial" w:hAnsi="Arial" w:cs="Arial"/>
          <w:lang w:eastAsia="ko-KR"/>
        </w:rPr>
        <w:t>P0</w:t>
      </w:r>
      <w:r w:rsidR="00851407">
        <w:rPr>
          <w:rFonts w:ascii="Arial" w:eastAsiaTheme="minorEastAsia" w:hAnsi="Arial" w:cs="Arial"/>
        </w:rPr>
        <w:t xml:space="preserve"> </w:t>
      </w:r>
      <w:r w:rsidR="003925B1">
        <w:rPr>
          <w:rFonts w:ascii="Arial" w:eastAsiaTheme="minorEastAsia" w:hAnsi="Arial" w:cs="Arial"/>
        </w:rPr>
        <w:t xml:space="preserve">on the other hand </w:t>
      </w:r>
      <w:r w:rsidR="00851407">
        <w:rPr>
          <w:rFonts w:ascii="Arial" w:eastAsiaTheme="minorEastAsia" w:hAnsi="Arial" w:cs="Arial"/>
        </w:rPr>
        <w:t>could be</w:t>
      </w:r>
      <w:r w:rsidR="003925B1">
        <w:rPr>
          <w:rFonts w:ascii="Arial" w:eastAsiaTheme="minorEastAsia" w:hAnsi="Arial" w:cs="Arial"/>
        </w:rPr>
        <w:t xml:space="preserve"> made</w:t>
      </w:r>
      <w:r w:rsidR="00851407">
        <w:rPr>
          <w:rFonts w:ascii="Arial" w:eastAsiaTheme="minorEastAsia" w:hAnsi="Arial" w:cs="Arial"/>
        </w:rPr>
        <w:t xml:space="preserve"> beam specific.</w:t>
      </w:r>
    </w:p>
    <w:p w14:paraId="60368E34" w14:textId="77777777" w:rsidR="0022456E" w:rsidRPr="00FE0E3F" w:rsidRDefault="00694A67" w:rsidP="0022456E">
      <w:pPr>
        <w:overflowPunct w:val="0"/>
        <w:autoSpaceDE w:val="0"/>
        <w:autoSpaceDN w:val="0"/>
        <w:adjustRightInd w:val="0"/>
        <w:ind w:left="567" w:hanging="425"/>
        <w:textAlignment w:val="baseline"/>
        <w:rPr>
          <w:rFonts w:ascii="Arial" w:eastAsia="SimSun" w:hAnsi="Arial" w:cs="Arial"/>
        </w:rPr>
      </w:pPr>
      <m:oMath>
        <m:sSub>
          <m:sSubPr>
            <m:ctrlPr>
              <w:rPr>
                <w:rFonts w:ascii="Cambria Math" w:eastAsia="SimSun" w:hAnsi="Cambria Math" w:cs="Arial"/>
                <w:i/>
              </w:rPr>
            </m:ctrlPr>
          </m:sSubPr>
          <m:e>
            <m:r>
              <w:rPr>
                <w:rFonts w:ascii="Cambria Math" w:eastAsia="SimSun" w:hAnsi="Cambria Math" w:cs="Arial"/>
              </w:rPr>
              <m:t>P</m:t>
            </m:r>
          </m:e>
          <m:sub>
            <m:r>
              <m:rPr>
                <m:nor/>
              </m:rPr>
              <w:rPr>
                <w:rFonts w:ascii="Arial" w:eastAsia="SimSun" w:hAnsi="Arial" w:cs="Arial"/>
              </w:rPr>
              <m:t>PUSCH,</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(i,j,</m:t>
        </m:r>
        <m:sSub>
          <m:sSubPr>
            <m:ctrlPr>
              <w:rPr>
                <w:rFonts w:ascii="Cambria Math" w:eastAsia="SimSun" w:hAnsi="Cambria Math" w:cs="Arial"/>
                <w:i/>
              </w:rPr>
            </m:ctrlPr>
          </m:sSubPr>
          <m:e>
            <m:r>
              <w:rPr>
                <w:rFonts w:ascii="Cambria Math" w:eastAsia="SimSun" w:hAnsi="Cambria Math" w:cs="Arial"/>
              </w:rPr>
              <m:t>q</m:t>
            </m:r>
          </m:e>
          <m:sub>
            <m:r>
              <w:rPr>
                <w:rFonts w:ascii="Cambria Math" w:eastAsia="SimSun" w:hAnsi="Cambria Math" w:cs="Arial"/>
              </w:rPr>
              <m:t>d</m:t>
            </m:r>
          </m:sub>
        </m:sSub>
        <m:r>
          <w:rPr>
            <w:rFonts w:ascii="Cambria Math" w:eastAsia="SimSun" w:hAnsi="Cambria Math" w:cs="Arial"/>
          </w:rPr>
          <m:t>,l)=</m:t>
        </m:r>
        <m:func>
          <m:funcPr>
            <m:ctrlPr>
              <w:rPr>
                <w:rFonts w:ascii="Cambria Math" w:eastAsia="SimSun" w:hAnsi="Cambria Math" w:cs="Arial"/>
                <w:i/>
              </w:rPr>
            </m:ctrlPr>
          </m:funcPr>
          <m:fName>
            <m:r>
              <w:rPr>
                <w:rFonts w:ascii="Cambria Math" w:eastAsia="SimSun" w:hAnsi="Cambria Math" w:cs="Arial"/>
              </w:rPr>
              <m:t>min</m:t>
            </m:r>
          </m:fName>
          <m:e>
            <m:d>
              <m:dPr>
                <m:begChr m:val="{"/>
                <m:endChr m:val="}"/>
                <m:ctrlPr>
                  <w:rPr>
                    <w:rFonts w:ascii="Cambria Math" w:eastAsia="SimSun" w:hAnsi="Cambria Math" w:cs="Arial"/>
                    <w:i/>
                  </w:rPr>
                </m:ctrlPr>
              </m:dPr>
              <m:e>
                <m:eqArr>
                  <m:eqArrPr>
                    <m:ctrlPr>
                      <w:rPr>
                        <w:rFonts w:ascii="Cambria Math" w:eastAsia="SimSun" w:hAnsi="Cambria Math" w:cs="Arial"/>
                        <w:i/>
                      </w:rPr>
                    </m:ctrlPr>
                  </m:eqArrPr>
                  <m:e>
                    <m:sSub>
                      <m:sSubPr>
                        <m:ctrlPr>
                          <w:rPr>
                            <w:rFonts w:ascii="Cambria Math" w:eastAsia="SimSun" w:hAnsi="Cambria Math" w:cs="Arial"/>
                            <w:i/>
                          </w:rPr>
                        </m:ctrlPr>
                      </m:sSubPr>
                      <m:e>
                        <m:r>
                          <w:rPr>
                            <w:rFonts w:ascii="Cambria Math" w:eastAsia="SimSun" w:hAnsi="Cambria Math" w:cs="Arial"/>
                          </w:rPr>
                          <m:t>P</m:t>
                        </m:r>
                      </m:e>
                      <m:sub>
                        <m:r>
                          <m:rPr>
                            <m:nor/>
                          </m:rPr>
                          <w:rPr>
                            <w:rFonts w:ascii="Arial" w:eastAsia="SimSun" w:hAnsi="Arial" w:cs="Arial"/>
                          </w:rPr>
                          <m:t>CMAX</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(i),</m:t>
                    </m:r>
                  </m:e>
                  <m:e>
                    <m:sSub>
                      <m:sSubPr>
                        <m:ctrlPr>
                          <w:rPr>
                            <w:rFonts w:ascii="Cambria Math" w:eastAsia="SimSun" w:hAnsi="Cambria Math" w:cs="Arial"/>
                            <w:i/>
                          </w:rPr>
                        </m:ctrlPr>
                      </m:sSubPr>
                      <m:e>
                        <m:r>
                          <w:rPr>
                            <w:rFonts w:ascii="Cambria Math" w:eastAsia="SimSun" w:hAnsi="Cambria Math" w:cs="Arial"/>
                          </w:rPr>
                          <m:t>P</m:t>
                        </m:r>
                      </m:e>
                      <m:sub>
                        <m:r>
                          <m:rPr>
                            <m:nor/>
                          </m:rPr>
                          <w:rPr>
                            <w:rFonts w:ascii="Arial" w:eastAsia="SimSun" w:hAnsi="Arial" w:cs="Arial"/>
                          </w:rPr>
                          <m:t>O_PUSCH,</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(j)+10</m:t>
                    </m:r>
                    <m:func>
                      <m:funcPr>
                        <m:ctrlPr>
                          <w:rPr>
                            <w:rFonts w:ascii="Cambria Math" w:eastAsia="SimSun" w:hAnsi="Cambria Math" w:cs="Arial"/>
                            <w:i/>
                          </w:rPr>
                        </m:ctrlPr>
                      </m:funcPr>
                      <m:fName>
                        <m:sSub>
                          <m:sSubPr>
                            <m:ctrlPr>
                              <w:rPr>
                                <w:rFonts w:ascii="Cambria Math" w:eastAsia="SimSun" w:hAnsi="Cambria Math" w:cs="Arial"/>
                                <w:i/>
                              </w:rPr>
                            </m:ctrlPr>
                          </m:sSubPr>
                          <m:e>
                            <m:r>
                              <w:rPr>
                                <w:rFonts w:ascii="Cambria Math" w:eastAsia="SimSun" w:hAnsi="Cambria Math" w:cs="Arial"/>
                              </w:rPr>
                              <m:t>log</m:t>
                            </m:r>
                          </m:e>
                          <m:sub>
                            <m:r>
                              <w:rPr>
                                <w:rFonts w:ascii="Cambria Math" w:eastAsia="SimSun" w:hAnsi="Cambria Math" w:cs="Arial"/>
                              </w:rPr>
                              <m:t>10</m:t>
                            </m:r>
                          </m:sub>
                        </m:sSub>
                      </m:fName>
                      <m:e>
                        <m:r>
                          <w:rPr>
                            <w:rFonts w:ascii="Cambria Math" w:eastAsia="SimSun" w:hAnsi="Cambria Math" w:cs="Arial"/>
                          </w:rPr>
                          <m:t>(</m:t>
                        </m:r>
                      </m:e>
                    </m:func>
                    <m:sSup>
                      <m:sSupPr>
                        <m:ctrlPr>
                          <w:rPr>
                            <w:rFonts w:ascii="Cambria Math" w:eastAsia="SimSun" w:hAnsi="Cambria Math" w:cs="Arial"/>
                            <w:i/>
                          </w:rPr>
                        </m:ctrlPr>
                      </m:sSupPr>
                      <m:e>
                        <m:r>
                          <w:rPr>
                            <w:rFonts w:ascii="Cambria Math" w:eastAsia="SimSun" w:hAnsi="Cambria Math" w:cs="Arial"/>
                          </w:rPr>
                          <m:t>2</m:t>
                        </m:r>
                      </m:e>
                      <m:sup>
                        <m:r>
                          <w:rPr>
                            <w:rFonts w:ascii="Cambria Math" w:eastAsia="SimSun" w:hAnsi="Cambria Math" w:cs="Arial"/>
                          </w:rPr>
                          <m:t>μ</m:t>
                        </m:r>
                      </m:sup>
                    </m:sSup>
                    <m:r>
                      <w:rPr>
                        <w:rFonts w:ascii="Cambria Math" w:eastAsia="SimSun" w:hAnsi="Cambria Math" w:cs="Arial"/>
                      </w:rPr>
                      <m:t>⋅</m:t>
                    </m:r>
                    <m:sSubSup>
                      <m:sSubSupPr>
                        <m:ctrlPr>
                          <w:rPr>
                            <w:rFonts w:ascii="Cambria Math" w:eastAsia="SimSun" w:hAnsi="Cambria Math" w:cs="Arial"/>
                            <w:i/>
                          </w:rPr>
                        </m:ctrlPr>
                      </m:sSubSupPr>
                      <m:e>
                        <m:r>
                          <w:rPr>
                            <w:rFonts w:ascii="Cambria Math" w:eastAsia="SimSun" w:hAnsi="Cambria Math" w:cs="Arial"/>
                          </w:rPr>
                          <m:t>M</m:t>
                        </m:r>
                      </m:e>
                      <m:sub>
                        <m:r>
                          <m:rPr>
                            <m:nor/>
                          </m:rPr>
                          <w:rPr>
                            <w:rFonts w:ascii="Arial" w:eastAsia="SimSun" w:hAnsi="Arial" w:cs="Arial"/>
                          </w:rPr>
                          <m:t>RB,</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up>
                        <m:r>
                          <m:rPr>
                            <m:nor/>
                          </m:rPr>
                          <w:rPr>
                            <w:rFonts w:ascii="Arial" w:eastAsia="SimSun" w:hAnsi="Arial" w:cs="Arial"/>
                          </w:rPr>
                          <m:t>PUSCH</m:t>
                        </m:r>
                        <m:ctrlPr>
                          <w:rPr>
                            <w:rFonts w:ascii="Cambria Math" w:eastAsia="SimSun" w:hAnsi="Cambria Math" w:cs="Arial"/>
                          </w:rPr>
                        </m:ctrlPr>
                      </m:sup>
                    </m:sSubSup>
                    <m:r>
                      <w:rPr>
                        <w:rFonts w:ascii="Cambria Math" w:eastAsia="SimSun" w:hAnsi="Cambria Math" w:cs="Arial"/>
                      </w:rPr>
                      <m:t>(i))+</m:t>
                    </m:r>
                    <m:sSub>
                      <m:sSubPr>
                        <m:ctrlPr>
                          <w:rPr>
                            <w:rFonts w:ascii="Cambria Math" w:eastAsia="SimSun" w:hAnsi="Cambria Math" w:cs="Arial"/>
                            <w:i/>
                          </w:rPr>
                        </m:ctrlPr>
                      </m:sSubPr>
                      <m:e>
                        <m:r>
                          <w:rPr>
                            <w:rFonts w:ascii="Cambria Math" w:eastAsia="SimSun" w:hAnsi="Cambria Math" w:cs="Arial"/>
                          </w:rPr>
                          <m:t>α</m:t>
                        </m:r>
                      </m:e>
                      <m:sub>
                        <m:r>
                          <w:rPr>
                            <w:rFonts w:ascii="Cambria Math" w:eastAsia="SimSun" w:hAnsi="Cambria Math" w:cs="Arial"/>
                          </w:rPr>
                          <m:t>b,f,c</m:t>
                        </m:r>
                      </m:sub>
                    </m:sSub>
                    <m:r>
                      <w:rPr>
                        <w:rFonts w:ascii="Cambria Math" w:eastAsia="SimSun" w:hAnsi="Cambria Math" w:cs="Arial"/>
                      </w:rPr>
                      <m:t>(j)⋅P</m:t>
                    </m:r>
                    <m:sSub>
                      <m:sSubPr>
                        <m:ctrlPr>
                          <w:rPr>
                            <w:rFonts w:ascii="Cambria Math" w:eastAsia="SimSun" w:hAnsi="Cambria Math" w:cs="Arial"/>
                            <w:i/>
                          </w:rPr>
                        </m:ctrlPr>
                      </m:sSubPr>
                      <m:e>
                        <m:r>
                          <w:rPr>
                            <w:rFonts w:ascii="Cambria Math" w:eastAsia="SimSun" w:hAnsi="Cambria Math" w:cs="Arial"/>
                          </w:rPr>
                          <m:t>L</m:t>
                        </m:r>
                      </m:e>
                      <m:sub>
                        <m:r>
                          <w:rPr>
                            <w:rFonts w:ascii="Cambria Math" w:eastAsia="SimSun" w:hAnsi="Cambria Math" w:cs="Arial"/>
                          </w:rPr>
                          <m:t>b,f,c</m:t>
                        </m:r>
                      </m:sub>
                    </m:sSub>
                    <m:r>
                      <w:rPr>
                        <w:rFonts w:ascii="Cambria Math" w:eastAsia="SimSun" w:hAnsi="Cambria Math" w:cs="Arial"/>
                      </w:rPr>
                      <m:t>(</m:t>
                    </m:r>
                    <m:sSub>
                      <m:sSubPr>
                        <m:ctrlPr>
                          <w:rPr>
                            <w:rFonts w:ascii="Cambria Math" w:eastAsia="SimSun" w:hAnsi="Cambria Math" w:cs="Arial"/>
                            <w:i/>
                          </w:rPr>
                        </m:ctrlPr>
                      </m:sSubPr>
                      <m:e>
                        <m:r>
                          <w:rPr>
                            <w:rFonts w:ascii="Cambria Math" w:eastAsia="SimSun" w:hAnsi="Cambria Math" w:cs="Arial"/>
                          </w:rPr>
                          <m:t>q</m:t>
                        </m:r>
                      </m:e>
                      <m:sub>
                        <m:r>
                          <w:rPr>
                            <w:rFonts w:ascii="Cambria Math" w:eastAsia="SimSun" w:hAnsi="Cambria Math" w:cs="Arial"/>
                          </w:rPr>
                          <m:t>d</m:t>
                        </m:r>
                      </m:sub>
                    </m:sSub>
                    <m:r>
                      <w:rPr>
                        <w:rFonts w:ascii="Cambria Math" w:eastAsia="SimSun" w:hAnsi="Cambria Math" w:cs="Arial"/>
                      </w:rPr>
                      <m:t>)+</m:t>
                    </m:r>
                    <m:sSub>
                      <m:sSubPr>
                        <m:ctrlPr>
                          <w:rPr>
                            <w:rFonts w:ascii="Cambria Math" w:eastAsia="SimSun" w:hAnsi="Cambria Math" w:cs="Arial"/>
                            <w:i/>
                          </w:rPr>
                        </m:ctrlPr>
                      </m:sSubPr>
                      <m:e>
                        <m:r>
                          <w:rPr>
                            <w:rFonts w:ascii="Cambria Math" w:eastAsia="SimSun" w:hAnsi="Cambria Math" w:cs="Arial"/>
                          </w:rPr>
                          <m:t>Δ</m:t>
                        </m:r>
                      </m:e>
                      <m:sub>
                        <m:r>
                          <m:rPr>
                            <m:nor/>
                          </m:rPr>
                          <w:rPr>
                            <w:rFonts w:ascii="Arial" w:eastAsia="SimSun" w:hAnsi="Arial" w:cs="Arial"/>
                          </w:rPr>
                          <m:t>TF,</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(i)+</m:t>
                    </m:r>
                    <m:sSub>
                      <m:sSubPr>
                        <m:ctrlPr>
                          <w:rPr>
                            <w:rFonts w:ascii="Cambria Math" w:eastAsia="SimSun" w:hAnsi="Cambria Math" w:cs="Arial"/>
                            <w:i/>
                          </w:rPr>
                        </m:ctrlPr>
                      </m:sSubPr>
                      <m:e>
                        <m:r>
                          <w:rPr>
                            <w:rFonts w:ascii="Cambria Math" w:eastAsia="SimSun" w:hAnsi="Cambria Math" w:cs="Arial"/>
                          </w:rPr>
                          <m:t>f</m:t>
                        </m:r>
                      </m:e>
                      <m:sub>
                        <m:r>
                          <w:rPr>
                            <w:rFonts w:ascii="Cambria Math" w:eastAsia="SimSun" w:hAnsi="Cambria Math" w:cs="Arial"/>
                          </w:rPr>
                          <m:t>b,f,c</m:t>
                        </m:r>
                      </m:sub>
                    </m:sSub>
                    <m:r>
                      <w:rPr>
                        <w:rFonts w:ascii="Cambria Math" w:eastAsia="SimSun" w:hAnsi="Cambria Math" w:cs="Arial"/>
                      </w:rPr>
                      <m:t>(i,l)</m:t>
                    </m:r>
                  </m:e>
                </m:eqArr>
              </m:e>
            </m:d>
          </m:e>
        </m:func>
      </m:oMath>
      <w:r w:rsidR="0022456E" w:rsidRPr="00FE0E3F">
        <w:rPr>
          <w:rFonts w:ascii="Arial" w:eastAsiaTheme="minorEastAsia" w:hAnsi="Arial" w:cs="Arial"/>
        </w:rPr>
        <w:t>dBm</w:t>
      </w:r>
    </w:p>
    <w:p w14:paraId="42CD1203" w14:textId="1D23D1AC" w:rsidR="0022456E" w:rsidRPr="00FE0E3F" w:rsidRDefault="0022456E" w:rsidP="00123A37">
      <w:pPr>
        <w:pStyle w:val="BodyText"/>
        <w:rPr>
          <w:rFonts w:ascii="Arial" w:hAnsi="Arial" w:cs="Arial"/>
          <w:lang w:eastAsia="ko-KR"/>
        </w:rPr>
      </w:pPr>
    </w:p>
    <w:p w14:paraId="6293F34C" w14:textId="60E7F58A" w:rsidR="0022456E" w:rsidRPr="00FE0E3F" w:rsidRDefault="0022456E" w:rsidP="0022456E">
      <w:pPr>
        <w:pStyle w:val="BodyText"/>
        <w:rPr>
          <w:rFonts w:ascii="Arial" w:hAnsi="Arial" w:cs="Arial"/>
          <w:b/>
          <w:i/>
          <w:lang w:eastAsia="ko-KR"/>
        </w:rPr>
      </w:pPr>
      <w:r w:rsidRPr="00FE0E3F">
        <w:rPr>
          <w:rFonts w:ascii="Arial" w:hAnsi="Arial" w:cs="Arial"/>
          <w:b/>
          <w:i/>
          <w:lang w:eastAsia="ko-KR"/>
        </w:rPr>
        <w:t xml:space="preserve">Observation 1: UE transmission power headroom </w:t>
      </w:r>
      <w:r w:rsidR="00CA7457" w:rsidRPr="00FE0E3F">
        <w:rPr>
          <w:rFonts w:ascii="Arial" w:hAnsi="Arial" w:cs="Arial"/>
          <w:b/>
          <w:i/>
          <w:lang w:eastAsia="ko-KR"/>
        </w:rPr>
        <w:t xml:space="preserve">and long RTD </w:t>
      </w:r>
      <w:r w:rsidRPr="00FE0E3F">
        <w:rPr>
          <w:rFonts w:ascii="Arial" w:hAnsi="Arial" w:cs="Arial"/>
          <w:b/>
          <w:i/>
          <w:lang w:eastAsia="ko-KR"/>
        </w:rPr>
        <w:t>limits effective</w:t>
      </w:r>
      <w:r w:rsidR="00CA7457" w:rsidRPr="00FE0E3F">
        <w:rPr>
          <w:rFonts w:ascii="Arial" w:hAnsi="Arial" w:cs="Arial"/>
          <w:b/>
          <w:i/>
          <w:lang w:eastAsia="ko-KR"/>
        </w:rPr>
        <w:t>ness</w:t>
      </w:r>
      <w:r w:rsidRPr="00FE0E3F">
        <w:rPr>
          <w:rFonts w:ascii="Arial" w:hAnsi="Arial" w:cs="Arial"/>
          <w:b/>
          <w:i/>
          <w:lang w:eastAsia="ko-KR"/>
        </w:rPr>
        <w:t xml:space="preserve"> of closed-loop UL power control.</w:t>
      </w:r>
    </w:p>
    <w:p w14:paraId="1C684F40" w14:textId="1CEAB338" w:rsidR="00123A37" w:rsidRPr="00FE0E3F" w:rsidRDefault="002660D2" w:rsidP="00123A37">
      <w:pPr>
        <w:pStyle w:val="BodyText"/>
        <w:rPr>
          <w:rFonts w:ascii="Arial" w:hAnsi="Arial" w:cs="Arial"/>
          <w:b/>
          <w:i/>
          <w:lang w:eastAsia="ko-KR"/>
        </w:rPr>
      </w:pPr>
      <w:r w:rsidRPr="00FE0E3F">
        <w:rPr>
          <w:rFonts w:ascii="Arial" w:hAnsi="Arial" w:cs="Arial"/>
          <w:b/>
          <w:i/>
          <w:lang w:eastAsia="ko-KR"/>
        </w:rPr>
        <w:t>Proposal 1</w:t>
      </w:r>
      <w:r w:rsidR="00123A37" w:rsidRPr="00FE0E3F">
        <w:rPr>
          <w:rFonts w:ascii="Arial" w:hAnsi="Arial" w:cs="Arial"/>
          <w:b/>
          <w:i/>
          <w:lang w:eastAsia="ko-KR"/>
        </w:rPr>
        <w:t xml:space="preserve">: </w:t>
      </w:r>
      <w:r w:rsidR="00F90431" w:rsidRPr="00FE0E3F">
        <w:rPr>
          <w:rFonts w:ascii="Arial" w:eastAsiaTheme="minorEastAsia" w:hAnsi="Arial" w:cs="Arial"/>
          <w:b/>
          <w:i/>
        </w:rPr>
        <w:t xml:space="preserve">The </w:t>
      </w:r>
      <w:r w:rsidR="002220FD">
        <w:rPr>
          <w:rFonts w:ascii="Arial" w:eastAsiaTheme="minorEastAsia" w:hAnsi="Arial" w:cs="Arial"/>
          <w:b/>
          <w:i/>
        </w:rPr>
        <w:t xml:space="preserve">open-loop UL power control parameters </w:t>
      </w:r>
      <w:r w:rsidR="00F90431" w:rsidRPr="00FE0E3F">
        <w:rPr>
          <w:rFonts w:ascii="Arial" w:hAnsi="Arial" w:cs="Arial"/>
          <w:b/>
          <w:i/>
          <w:lang w:eastAsia="ko-KR"/>
        </w:rPr>
        <w:t xml:space="preserve">power offset P0 </w:t>
      </w:r>
      <w:r w:rsidR="002220FD">
        <w:rPr>
          <w:rFonts w:ascii="Arial" w:hAnsi="Arial" w:cs="Arial"/>
          <w:b/>
          <w:i/>
          <w:lang w:eastAsia="ko-KR"/>
        </w:rPr>
        <w:t xml:space="preserve">is beam specific </w:t>
      </w:r>
      <w:r w:rsidR="00F90431" w:rsidRPr="00FE0E3F">
        <w:rPr>
          <w:rFonts w:ascii="Arial" w:hAnsi="Arial" w:cs="Arial"/>
          <w:b/>
          <w:i/>
          <w:lang w:eastAsia="ko-KR"/>
        </w:rPr>
        <w:t xml:space="preserve">and fractional compensator factor </w:t>
      </w:r>
      <m:oMath>
        <m:sSub>
          <m:sSubPr>
            <m:ctrlPr>
              <w:rPr>
                <w:rFonts w:ascii="Cambria Math" w:hAnsi="Cambria Math" w:cs="Arial"/>
                <w:b/>
                <w:i/>
              </w:rPr>
            </m:ctrlPr>
          </m:sSubPr>
          <m:e>
            <m:r>
              <m:rPr>
                <m:sty m:val="bi"/>
              </m:rPr>
              <w:rPr>
                <w:rFonts w:ascii="Cambria Math" w:hAnsi="Cambria Math" w:cs="Arial"/>
              </w:rPr>
              <m:t>α</m:t>
            </m:r>
          </m:e>
          <m:sub>
            <m:r>
              <m:rPr>
                <m:sty m:val="bi"/>
              </m:rPr>
              <w:rPr>
                <w:rFonts w:ascii="Cambria Math" w:hAnsi="Cambria Math" w:cs="Arial"/>
              </w:rPr>
              <m:t>b,f,c</m:t>
            </m:r>
          </m:sub>
        </m:sSub>
        <m:r>
          <m:rPr>
            <m:sty m:val="bi"/>
          </m:rPr>
          <w:rPr>
            <w:rFonts w:ascii="Cambria Math" w:hAnsi="Cambria Math" w:cs="Arial"/>
          </w:rPr>
          <m:t>(j)</m:t>
        </m:r>
      </m:oMath>
      <w:r w:rsidR="00F90431" w:rsidRPr="00FE0E3F">
        <w:rPr>
          <w:rFonts w:ascii="Arial" w:eastAsiaTheme="minorEastAsia" w:hAnsi="Arial" w:cs="Arial"/>
          <w:b/>
          <w:i/>
        </w:rPr>
        <w:t xml:space="preserve"> </w:t>
      </w:r>
      <w:r w:rsidR="002220FD">
        <w:rPr>
          <w:rFonts w:ascii="Arial" w:eastAsiaTheme="minorEastAsia" w:hAnsi="Arial" w:cs="Arial"/>
          <w:b/>
          <w:i/>
        </w:rPr>
        <w:t>is common for all UEs</w:t>
      </w:r>
      <w:r w:rsidR="00123A37" w:rsidRPr="00FE0E3F">
        <w:rPr>
          <w:rFonts w:ascii="Arial" w:hAnsi="Arial" w:cs="Arial"/>
          <w:b/>
          <w:i/>
          <w:lang w:eastAsia="ko-KR"/>
        </w:rPr>
        <w:t>.</w:t>
      </w:r>
    </w:p>
    <w:p w14:paraId="0BE196E3" w14:textId="77777777" w:rsidR="00C41A8F" w:rsidRDefault="00C41A8F" w:rsidP="00225FE0">
      <w:pPr>
        <w:pStyle w:val="BodyText"/>
        <w:rPr>
          <w:rFonts w:ascii="Arial" w:hAnsi="Arial" w:cs="Arial"/>
          <w:lang w:eastAsia="ko-KR"/>
        </w:rPr>
      </w:pPr>
    </w:p>
    <w:p w14:paraId="724A39A7" w14:textId="79DE07D0" w:rsidR="00EF48D6" w:rsidRDefault="00EF48D6" w:rsidP="00EF48D6">
      <w:pPr>
        <w:pStyle w:val="Heading1"/>
        <w:rPr>
          <w:rFonts w:cs="Arial"/>
        </w:rPr>
      </w:pPr>
      <w:r>
        <w:rPr>
          <w:rFonts w:cs="Arial"/>
        </w:rPr>
        <w:lastRenderedPageBreak/>
        <w:t>Beam management</w:t>
      </w:r>
    </w:p>
    <w:p w14:paraId="116F7BF2" w14:textId="77777777" w:rsidR="00481FDD" w:rsidRPr="00830882" w:rsidRDefault="00481FDD" w:rsidP="00481FDD">
      <w:pPr>
        <w:rPr>
          <w:rFonts w:ascii="Arial" w:hAnsi="Arial" w:cs="Arial"/>
          <w:u w:val="single"/>
          <w:lang w:eastAsia="zh-CN"/>
        </w:rPr>
      </w:pPr>
      <w:r w:rsidRPr="00830882">
        <w:rPr>
          <w:rFonts w:ascii="Arial" w:hAnsi="Arial" w:cs="Arial"/>
          <w:u w:val="single"/>
          <w:lang w:eastAsia="zh-CN"/>
        </w:rPr>
        <w:t>Options for mapping of PCI and SSBs to satellite cell/beams</w:t>
      </w:r>
    </w:p>
    <w:p w14:paraId="60009F16" w14:textId="7CF2B54C" w:rsidR="00481FDD" w:rsidRPr="00830882" w:rsidRDefault="00481FDD" w:rsidP="00481FDD">
      <w:pPr>
        <w:rPr>
          <w:rFonts w:ascii="Arial" w:hAnsi="Arial" w:cs="Arial"/>
          <w:lang w:eastAsia="zh-CN"/>
        </w:rPr>
      </w:pPr>
      <w:r w:rsidRPr="00830882">
        <w:rPr>
          <w:rFonts w:ascii="Arial" w:hAnsi="Arial" w:cs="Arial"/>
          <w:lang w:eastAsia="zh-CN"/>
        </w:rPr>
        <w:t>There are two options for mapping of PCI and SSB</w:t>
      </w:r>
    </w:p>
    <w:p w14:paraId="12E40B4D" w14:textId="0492781E" w:rsidR="00481FDD" w:rsidRPr="00830882" w:rsidRDefault="00481FDD" w:rsidP="00481FDD">
      <w:pPr>
        <w:pStyle w:val="ListParagraph"/>
        <w:numPr>
          <w:ilvl w:val="0"/>
          <w:numId w:val="27"/>
        </w:numPr>
        <w:rPr>
          <w:rFonts w:ascii="Arial" w:hAnsi="Arial" w:cs="Arial"/>
          <w:lang w:eastAsia="zh-CN"/>
        </w:rPr>
      </w:pPr>
      <w:r w:rsidRPr="00830882">
        <w:rPr>
          <w:rFonts w:ascii="Arial" w:hAnsi="Arial" w:cs="Arial"/>
          <w:lang w:eastAsia="zh-CN"/>
        </w:rPr>
        <w:t>Option a: multiple beams per PCI with beam specific SSB (may allow faster / simpler re-sync, does not require read SI every beam). This fits MTK concept for  beam-specific BWP configuration that is more flexible than hard frequency re-use, indication via DCI. Further, if multiple beams are considered to be within same cell, handover can be avoided when switching beams. This way allows to re-use rel-15 NR beam management w/ some enhancements (SSB, CSI RS). If a NTN beam is seen as a beam in satellite cell it is similar to rel-15 NR beam. The difference with rel-15 NR beam management is that the beams are in different location with no or only partial overlap.</w:t>
      </w:r>
    </w:p>
    <w:p w14:paraId="64411D72" w14:textId="458B9B35" w:rsidR="00481FDD" w:rsidRPr="00830882" w:rsidRDefault="00481FDD" w:rsidP="00481FDD">
      <w:pPr>
        <w:pStyle w:val="ListParagraph"/>
        <w:numPr>
          <w:ilvl w:val="0"/>
          <w:numId w:val="27"/>
        </w:numPr>
        <w:rPr>
          <w:rFonts w:ascii="Arial" w:hAnsi="Arial" w:cs="Arial"/>
          <w:lang w:eastAsia="zh-CN"/>
        </w:rPr>
      </w:pPr>
      <w:r w:rsidRPr="00830882">
        <w:rPr>
          <w:rFonts w:ascii="Arial" w:hAnsi="Arial" w:cs="Arial"/>
          <w:lang w:eastAsia="zh-CN"/>
        </w:rPr>
        <w:t>Option b: one beam per PCI (requires hard frequency re-use). As there is only one beam per satellite cell, it is less suited option to apply the rel-15 NR beam management.</w:t>
      </w:r>
    </w:p>
    <w:p w14:paraId="5B76D649" w14:textId="04174954" w:rsidR="00481FDD" w:rsidRDefault="00481FDD" w:rsidP="00481FDD">
      <w:pPr>
        <w:jc w:val="center"/>
        <w:rPr>
          <w:lang w:eastAsia="zh-CN"/>
        </w:rPr>
      </w:pPr>
      <w:r w:rsidRPr="00481FDD">
        <w:rPr>
          <w:noProof/>
          <w:lang w:val="en-US"/>
        </w:rPr>
        <w:drawing>
          <wp:inline distT="0" distB="0" distL="0" distR="0" wp14:anchorId="0C64C40E" wp14:editId="6E60041F">
            <wp:extent cx="2711817" cy="1740116"/>
            <wp:effectExtent l="0" t="0" r="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13"/>
                    <a:stretch>
                      <a:fillRect/>
                    </a:stretch>
                  </pic:blipFill>
                  <pic:spPr>
                    <a:xfrm>
                      <a:off x="0" y="0"/>
                      <a:ext cx="2720732" cy="1745837"/>
                    </a:xfrm>
                    <a:prstGeom prst="rect">
                      <a:avLst/>
                    </a:prstGeom>
                  </pic:spPr>
                </pic:pic>
              </a:graphicData>
            </a:graphic>
          </wp:inline>
        </w:drawing>
      </w:r>
    </w:p>
    <w:p w14:paraId="1F19423E" w14:textId="0620E7EB" w:rsidR="00481FDD" w:rsidRDefault="00481FDD" w:rsidP="00481FDD">
      <w:pPr>
        <w:jc w:val="center"/>
        <w:rPr>
          <w:lang w:eastAsia="zh-CN"/>
        </w:rPr>
      </w:pPr>
      <w:r>
        <w:rPr>
          <w:lang w:eastAsia="zh-CN"/>
        </w:rPr>
        <w:t>Figure 1: Mapping options for PCI/SSBs in NTN</w:t>
      </w:r>
    </w:p>
    <w:p w14:paraId="748B1650" w14:textId="4D22D24A" w:rsidR="00481FDD" w:rsidRPr="00830882" w:rsidRDefault="00481FDD" w:rsidP="00481FDD">
      <w:pPr>
        <w:rPr>
          <w:rFonts w:ascii="Arial" w:hAnsi="Arial" w:cs="Arial"/>
          <w:lang w:eastAsia="zh-CN"/>
        </w:rPr>
      </w:pPr>
    </w:p>
    <w:p w14:paraId="4D0DDC58" w14:textId="15225242" w:rsidR="00991EC4" w:rsidRPr="00830882" w:rsidRDefault="00991EC4" w:rsidP="00481FDD">
      <w:pPr>
        <w:rPr>
          <w:rFonts w:ascii="Arial" w:hAnsi="Arial" w:cs="Arial"/>
          <w:lang w:eastAsia="zh-CN"/>
        </w:rPr>
      </w:pPr>
      <w:r w:rsidRPr="00830882">
        <w:rPr>
          <w:rFonts w:ascii="Arial" w:hAnsi="Arial" w:cs="Arial"/>
          <w:lang w:eastAsia="zh-CN"/>
        </w:rPr>
        <w:t xml:space="preserve">We have preference </w:t>
      </w:r>
      <w:r w:rsidR="00851407">
        <w:rPr>
          <w:rFonts w:ascii="Arial" w:hAnsi="Arial" w:cs="Arial"/>
          <w:lang w:eastAsia="zh-CN"/>
        </w:rPr>
        <w:t>for option “a”. For idle UE, it is simpler to re-synchronize as the UE only needs to detect on</w:t>
      </w:r>
      <w:r w:rsidR="00B125AA">
        <w:rPr>
          <w:rFonts w:ascii="Arial" w:hAnsi="Arial" w:cs="Arial"/>
          <w:lang w:eastAsia="zh-CN"/>
        </w:rPr>
        <w:t>e</w:t>
      </w:r>
      <w:r w:rsidR="00851407">
        <w:rPr>
          <w:rFonts w:ascii="Arial" w:hAnsi="Arial" w:cs="Arial"/>
          <w:lang w:eastAsia="zh-CN"/>
        </w:rPr>
        <w:t xml:space="preserve"> of several SSBs mapped to a PCI. This allows faster re-synchronization when switching beam.  For the connected UE, Beam-specific SSBs and additionally </w:t>
      </w:r>
      <w:r w:rsidRPr="00830882">
        <w:rPr>
          <w:rFonts w:ascii="Arial" w:hAnsi="Arial" w:cs="Arial"/>
          <w:lang w:eastAsia="zh-CN"/>
        </w:rPr>
        <w:t xml:space="preserve">beam-specific CSI RS </w:t>
      </w:r>
      <w:r w:rsidR="00851407">
        <w:rPr>
          <w:rFonts w:ascii="Arial" w:hAnsi="Arial" w:cs="Arial"/>
          <w:lang w:eastAsia="zh-CN"/>
        </w:rPr>
        <w:t xml:space="preserve">can be used for beam management. This can avoid </w:t>
      </w:r>
      <w:r w:rsidRPr="00830882">
        <w:rPr>
          <w:rFonts w:ascii="Arial" w:hAnsi="Arial" w:cs="Arial"/>
          <w:lang w:eastAsia="zh-CN"/>
        </w:rPr>
        <w:t xml:space="preserve">cell handover to minimize </w:t>
      </w:r>
      <w:r w:rsidR="00851407">
        <w:rPr>
          <w:rFonts w:ascii="Arial" w:hAnsi="Arial" w:cs="Arial"/>
          <w:lang w:eastAsia="zh-CN"/>
        </w:rPr>
        <w:t>packet interruption and signalling overhead associated with cell handover</w:t>
      </w:r>
      <w:r w:rsidR="009B70D3">
        <w:rPr>
          <w:rFonts w:ascii="Arial" w:hAnsi="Arial" w:cs="Arial"/>
          <w:lang w:eastAsia="zh-CN"/>
        </w:rPr>
        <w:t xml:space="preserve">. </w:t>
      </w:r>
      <w:r w:rsidR="009B70D3" w:rsidRPr="009B70D3">
        <w:rPr>
          <w:rFonts w:ascii="Arial" w:hAnsi="Arial" w:cs="Arial"/>
          <w:lang w:eastAsia="zh-CN"/>
        </w:rPr>
        <w:t xml:space="preserve">In rel-15 NR, all CSI-RS resources in a beam management CSI-RS resource set are transmitted in the same frequency. </w:t>
      </w:r>
      <w:r w:rsidR="009B70D3">
        <w:rPr>
          <w:rFonts w:ascii="Arial" w:hAnsi="Arial" w:cs="Arial"/>
          <w:lang w:eastAsia="zh-CN"/>
        </w:rPr>
        <w:t>M</w:t>
      </w:r>
      <w:r w:rsidR="009B70D3" w:rsidRPr="009B70D3">
        <w:rPr>
          <w:rFonts w:ascii="Arial" w:hAnsi="Arial" w:cs="Arial"/>
          <w:lang w:eastAsia="zh-CN"/>
        </w:rPr>
        <w:t>ultiple beams per PCI with beam specific SSB</w:t>
      </w:r>
      <w:r w:rsidR="009B70D3">
        <w:rPr>
          <w:rFonts w:ascii="Arial" w:hAnsi="Arial" w:cs="Arial"/>
          <w:lang w:eastAsia="zh-CN"/>
        </w:rPr>
        <w:t xml:space="preserve">s does not require re-synchronization when switching beam. </w:t>
      </w:r>
      <w:r w:rsidR="009B70D3" w:rsidRPr="009B70D3">
        <w:rPr>
          <w:rFonts w:ascii="Arial" w:hAnsi="Arial" w:cs="Arial"/>
          <w:lang w:eastAsia="zh-CN"/>
        </w:rPr>
        <w:t xml:space="preserve"> Beam measurements can be done by UEs without frequency retuning.</w:t>
      </w:r>
    </w:p>
    <w:p w14:paraId="49017F87" w14:textId="7270A336" w:rsidR="00991EC4" w:rsidRPr="00830882" w:rsidRDefault="00991EC4" w:rsidP="00481FDD">
      <w:pPr>
        <w:rPr>
          <w:rFonts w:ascii="Arial" w:hAnsi="Arial" w:cs="Arial"/>
          <w:b/>
          <w:i/>
          <w:lang w:eastAsia="zh-CN"/>
        </w:rPr>
      </w:pPr>
      <w:r w:rsidRPr="00830882">
        <w:rPr>
          <w:rFonts w:ascii="Arial" w:hAnsi="Arial" w:cs="Arial"/>
          <w:b/>
          <w:i/>
          <w:lang w:eastAsia="zh-CN"/>
        </w:rPr>
        <w:t>Observation 2: With option ‘a’ with one PCI mapped to multiple beams and one SSB mapped per beam, the difference with rel-15 NR beam management is that the beams are in different location with no or only partial overlap.</w:t>
      </w:r>
    </w:p>
    <w:p w14:paraId="3DB81E7F" w14:textId="02513D14" w:rsidR="00481FDD" w:rsidRPr="00830882" w:rsidRDefault="00481FDD" w:rsidP="00EF48D6">
      <w:pPr>
        <w:rPr>
          <w:rFonts w:ascii="Arial" w:hAnsi="Arial" w:cs="Arial"/>
          <w:lang w:eastAsia="zh-CN"/>
        </w:rPr>
      </w:pPr>
      <w:r w:rsidRPr="00830882">
        <w:rPr>
          <w:rFonts w:ascii="Arial" w:hAnsi="Arial" w:cs="Arial"/>
          <w:b/>
          <w:i/>
          <w:lang w:eastAsia="zh-CN"/>
        </w:rPr>
        <w:t xml:space="preserve">Proposal </w:t>
      </w:r>
      <w:r w:rsidR="002220FD">
        <w:rPr>
          <w:rFonts w:ascii="Arial" w:hAnsi="Arial" w:cs="Arial"/>
          <w:b/>
          <w:i/>
          <w:lang w:eastAsia="zh-CN"/>
        </w:rPr>
        <w:t>2</w:t>
      </w:r>
      <w:r w:rsidRPr="00830882">
        <w:rPr>
          <w:rFonts w:ascii="Arial" w:hAnsi="Arial" w:cs="Arial"/>
          <w:b/>
          <w:i/>
          <w:lang w:eastAsia="zh-CN"/>
        </w:rPr>
        <w:t>: Option “a” with one PCI mapped to multiple beams and one SSB mapped per beam is used with rel-15 NR beam management</w:t>
      </w:r>
      <w:r w:rsidRPr="00830882">
        <w:rPr>
          <w:rFonts w:ascii="Arial" w:hAnsi="Arial" w:cs="Arial"/>
          <w:lang w:eastAsia="zh-CN"/>
        </w:rPr>
        <w:t>.</w:t>
      </w:r>
    </w:p>
    <w:p w14:paraId="509E1F28" w14:textId="668955B4" w:rsidR="00481FDD" w:rsidRPr="00830882" w:rsidRDefault="00481FDD" w:rsidP="00EF48D6">
      <w:pPr>
        <w:rPr>
          <w:rFonts w:ascii="Arial" w:hAnsi="Arial" w:cs="Arial"/>
          <w:u w:val="single"/>
          <w:lang w:eastAsia="zh-CN"/>
        </w:rPr>
      </w:pPr>
      <w:r w:rsidRPr="00830882">
        <w:rPr>
          <w:rFonts w:ascii="Arial" w:hAnsi="Arial" w:cs="Arial"/>
          <w:u w:val="single"/>
          <w:lang w:eastAsia="zh-CN"/>
        </w:rPr>
        <w:t xml:space="preserve">Bandwidth Part configuration for NTN </w:t>
      </w:r>
    </w:p>
    <w:p w14:paraId="33B2C1F2" w14:textId="6B2EA3B6" w:rsidR="00EF48D6" w:rsidRPr="00830882" w:rsidRDefault="00EF48D6" w:rsidP="00EF48D6">
      <w:pPr>
        <w:rPr>
          <w:rFonts w:ascii="Arial" w:hAnsi="Arial" w:cs="Arial"/>
          <w:lang w:eastAsia="zh-CN"/>
        </w:rPr>
      </w:pPr>
      <w:r w:rsidRPr="00830882">
        <w:rPr>
          <w:rFonts w:ascii="Arial" w:hAnsi="Arial" w:cs="Arial"/>
          <w:lang w:eastAsia="zh-CN"/>
        </w:rPr>
        <w:t>For NTN beam deployment with FRF 1, the available bandwidth allocated to each beam is large, however a UE in a beam coverage may suffer severe interference due to co-channel signals transmitted to nearby beams. From simulation results</w:t>
      </w:r>
      <w:r w:rsidR="00481FDD" w:rsidRPr="00830882">
        <w:rPr>
          <w:rFonts w:ascii="Arial" w:hAnsi="Arial" w:cs="Arial"/>
          <w:lang w:eastAsia="zh-CN"/>
        </w:rPr>
        <w:t xml:space="preserve"> in our contribution in NR NTN evaluation track []</w:t>
      </w:r>
      <w:r w:rsidRPr="00830882">
        <w:rPr>
          <w:rFonts w:ascii="Arial" w:hAnsi="Arial" w:cs="Arial"/>
          <w:lang w:eastAsia="zh-CN"/>
        </w:rPr>
        <w:t>,</w:t>
      </w:r>
      <w:r w:rsidR="00830882" w:rsidRPr="00830882">
        <w:rPr>
          <w:rFonts w:ascii="Arial" w:hAnsi="Arial" w:cs="Arial"/>
          <w:lang w:eastAsia="zh-CN"/>
        </w:rPr>
        <w:t>it was observed that [LEO-1200, S-band], with FRF 1, approximately 68% of UEs are with SINR ≤-2 dB. These UEs are unlikely to get much throughput due to poor synchronization, AFC, and channel estimation. In addition, such UEs may suffer high latency if many HARQ re-transmissions are required</w:t>
      </w:r>
    </w:p>
    <w:p w14:paraId="6BC73834" w14:textId="77777777" w:rsidR="00EF48D6" w:rsidRPr="00830882" w:rsidRDefault="00EF48D6" w:rsidP="00EF48D6">
      <w:pPr>
        <w:rPr>
          <w:rFonts w:ascii="Arial" w:hAnsi="Arial" w:cs="Arial"/>
          <w:lang w:val="en-US" w:eastAsia="zh-CN"/>
        </w:rPr>
      </w:pPr>
      <w:r w:rsidRPr="00830882">
        <w:rPr>
          <w:rFonts w:ascii="Arial" w:hAnsi="Arial" w:cs="Arial"/>
          <w:lang w:val="en-US" w:eastAsia="zh-CN"/>
        </w:rPr>
        <w:t>On the other hand, for NTN beam deployment with FRF 3, the interference problem is mitigated. However, the available bandwidth allocated to each beam is generally reduced.</w:t>
      </w:r>
    </w:p>
    <w:p w14:paraId="22001369" w14:textId="185462D4" w:rsidR="00830882" w:rsidRPr="00830882" w:rsidRDefault="00EF48D6" w:rsidP="00EF48D6">
      <w:pPr>
        <w:rPr>
          <w:rFonts w:ascii="Arial" w:hAnsi="Arial" w:cs="Arial"/>
          <w:lang w:val="en-US" w:eastAsia="zh-CN"/>
        </w:rPr>
      </w:pPr>
      <w:r w:rsidRPr="00830882">
        <w:rPr>
          <w:rFonts w:ascii="Arial" w:hAnsi="Arial" w:cs="Arial"/>
          <w:lang w:val="en-US" w:eastAsia="zh-CN"/>
        </w:rPr>
        <w:lastRenderedPageBreak/>
        <w:t xml:space="preserve">In practice, the number of UEs in each beam is not a constant. Intuitively, the network should allocate larger bandwidth for beams with larger number of UEs, and allocate smaller bandwidth for the other beams. Considering that the number of UEs in a beam may vary with time, a dynamic/scalable frequency resource allocation scheme is expected to improve the system spectral efficiency. </w:t>
      </w:r>
    </w:p>
    <w:p w14:paraId="6FD6A3BC" w14:textId="11492EA7" w:rsidR="00830882" w:rsidRPr="00830882" w:rsidRDefault="00830882" w:rsidP="00830882">
      <w:pPr>
        <w:rPr>
          <w:rFonts w:ascii="Arial" w:hAnsi="Arial" w:cs="Arial"/>
          <w:b/>
          <w:color w:val="000000" w:themeColor="text1"/>
          <w:lang w:val="en-US"/>
        </w:rPr>
      </w:pPr>
      <w:r w:rsidRPr="00830882">
        <w:rPr>
          <w:rFonts w:ascii="Arial" w:hAnsi="Arial" w:cs="Arial"/>
          <w:b/>
          <w:color w:val="000000" w:themeColor="text1"/>
        </w:rPr>
        <w:t xml:space="preserve">Proposal </w:t>
      </w:r>
      <w:r w:rsidR="002220FD">
        <w:rPr>
          <w:rFonts w:ascii="Arial" w:hAnsi="Arial" w:cs="Arial"/>
          <w:b/>
          <w:color w:val="000000" w:themeColor="text1"/>
        </w:rPr>
        <w:t>3</w:t>
      </w:r>
      <w:r w:rsidRPr="00830882">
        <w:rPr>
          <w:rFonts w:ascii="Arial" w:hAnsi="Arial" w:cs="Arial"/>
          <w:b/>
          <w:color w:val="000000" w:themeColor="text1"/>
        </w:rPr>
        <w:t>: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01471B21" w14:textId="527ECB91" w:rsidR="00EF48D6" w:rsidRPr="00830882" w:rsidRDefault="00481FDD" w:rsidP="00EF48D6">
      <w:pPr>
        <w:rPr>
          <w:rFonts w:ascii="Arial" w:hAnsi="Arial" w:cs="Arial"/>
          <w:lang w:val="en-US" w:eastAsia="zh-CN"/>
        </w:rPr>
      </w:pPr>
      <w:r w:rsidRPr="00830882">
        <w:rPr>
          <w:rFonts w:ascii="Arial" w:hAnsi="Arial" w:cs="Arial"/>
          <w:lang w:val="en-US" w:eastAsia="zh-CN"/>
        </w:rPr>
        <w:t>See Figure 2</w:t>
      </w:r>
      <w:r w:rsidR="00EF48D6" w:rsidRPr="00830882">
        <w:rPr>
          <w:rFonts w:ascii="Arial" w:hAnsi="Arial" w:cs="Arial"/>
          <w:lang w:val="en-US" w:eastAsia="zh-CN"/>
        </w:rPr>
        <w:t xml:space="preserve"> for an illustration:</w:t>
      </w:r>
    </w:p>
    <w:p w14:paraId="1FE8827A" w14:textId="77777777" w:rsidR="00EF48D6" w:rsidRPr="00830882" w:rsidRDefault="00EF48D6" w:rsidP="00EF48D6">
      <w:pPr>
        <w:pStyle w:val="ListParagraph"/>
        <w:widowControl w:val="0"/>
        <w:numPr>
          <w:ilvl w:val="0"/>
          <w:numId w:val="26"/>
        </w:numPr>
        <w:autoSpaceDE w:val="0"/>
        <w:autoSpaceDN w:val="0"/>
        <w:adjustRightInd w:val="0"/>
        <w:spacing w:after="120"/>
        <w:contextualSpacing/>
        <w:jc w:val="both"/>
        <w:rPr>
          <w:rFonts w:ascii="Arial" w:hAnsi="Arial" w:cs="Arial"/>
          <w:lang w:val="en-US" w:eastAsia="zh-CN"/>
        </w:rPr>
      </w:pPr>
      <w:r w:rsidRPr="00830882">
        <w:rPr>
          <w:rFonts w:ascii="Arial" w:hAnsi="Arial" w:cs="Arial"/>
          <w:lang w:val="en-US" w:eastAsia="zh-CN"/>
        </w:rPr>
        <w:t xml:space="preserve">In this example, there are 7 beams, and the network may configure BWP 0,1, or 2, as an active BWP for a beam </w:t>
      </w:r>
    </w:p>
    <w:p w14:paraId="35E252B8" w14:textId="77777777" w:rsidR="00EF48D6" w:rsidRPr="00830882" w:rsidRDefault="00EF48D6" w:rsidP="00EF48D6">
      <w:pPr>
        <w:pStyle w:val="ListParagraph"/>
        <w:widowControl w:val="0"/>
        <w:numPr>
          <w:ilvl w:val="0"/>
          <w:numId w:val="26"/>
        </w:numPr>
        <w:autoSpaceDE w:val="0"/>
        <w:autoSpaceDN w:val="0"/>
        <w:adjustRightInd w:val="0"/>
        <w:spacing w:after="120"/>
        <w:contextualSpacing/>
        <w:jc w:val="both"/>
        <w:rPr>
          <w:rFonts w:ascii="Arial" w:hAnsi="Arial" w:cs="Arial"/>
          <w:lang w:val="en-US" w:eastAsia="zh-CN"/>
        </w:rPr>
      </w:pPr>
      <w:r w:rsidRPr="00830882">
        <w:rPr>
          <w:rFonts w:ascii="Arial" w:hAnsi="Arial" w:cs="Arial"/>
          <w:lang w:val="en-US" w:eastAsia="zh-CN"/>
        </w:rPr>
        <w:t xml:space="preserve">In bandwidth, we have BWP 0 &gt; BWP 1 &gt; BWP 2 </w:t>
      </w:r>
    </w:p>
    <w:p w14:paraId="468C3E5D" w14:textId="77777777" w:rsidR="00EF48D6" w:rsidRPr="00830882" w:rsidRDefault="00EF48D6" w:rsidP="00EF48D6">
      <w:pPr>
        <w:pStyle w:val="ListParagraph"/>
        <w:widowControl w:val="0"/>
        <w:numPr>
          <w:ilvl w:val="0"/>
          <w:numId w:val="26"/>
        </w:numPr>
        <w:autoSpaceDE w:val="0"/>
        <w:autoSpaceDN w:val="0"/>
        <w:adjustRightInd w:val="0"/>
        <w:spacing w:after="120"/>
        <w:contextualSpacing/>
        <w:jc w:val="both"/>
        <w:rPr>
          <w:rFonts w:ascii="Arial" w:hAnsi="Arial" w:cs="Arial"/>
          <w:lang w:val="en-US" w:eastAsia="zh-CN"/>
        </w:rPr>
      </w:pPr>
      <w:r w:rsidRPr="00830882">
        <w:rPr>
          <w:rFonts w:ascii="Arial" w:hAnsi="Arial" w:cs="Arial"/>
          <w:lang w:val="en-US" w:eastAsia="zh-CN"/>
        </w:rPr>
        <w:t xml:space="preserve">Suppose at a time instance, the number of UEs in each beam is as shown in the table, then the network may configure BWPs to beams according the number of UEs in beams as shown in the right column of the table </w:t>
      </w:r>
    </w:p>
    <w:p w14:paraId="0D414BF5" w14:textId="77777777" w:rsidR="00EF48D6" w:rsidRPr="00830882" w:rsidRDefault="00EF48D6" w:rsidP="00EF48D6">
      <w:pPr>
        <w:pStyle w:val="ListParagraph"/>
        <w:widowControl w:val="0"/>
        <w:numPr>
          <w:ilvl w:val="0"/>
          <w:numId w:val="26"/>
        </w:numPr>
        <w:autoSpaceDE w:val="0"/>
        <w:autoSpaceDN w:val="0"/>
        <w:adjustRightInd w:val="0"/>
        <w:spacing w:after="120"/>
        <w:contextualSpacing/>
        <w:jc w:val="both"/>
        <w:rPr>
          <w:rFonts w:ascii="Arial" w:hAnsi="Arial" w:cs="Arial"/>
          <w:lang w:val="en-US" w:eastAsia="zh-CN"/>
        </w:rPr>
      </w:pPr>
      <w:r w:rsidRPr="00830882">
        <w:rPr>
          <w:rFonts w:ascii="Arial" w:hAnsi="Arial" w:cs="Arial"/>
          <w:lang w:val="en-US" w:eastAsia="zh-CN"/>
        </w:rPr>
        <w:t>Note that BWP 0 is allocated for beam 4 since beam 4 has maximum number of UEs</w:t>
      </w:r>
    </w:p>
    <w:p w14:paraId="1D0BA523" w14:textId="77777777" w:rsidR="00EF48D6" w:rsidRPr="00830882" w:rsidRDefault="00EF48D6" w:rsidP="00EF48D6">
      <w:pPr>
        <w:pStyle w:val="ListParagraph"/>
        <w:widowControl w:val="0"/>
        <w:numPr>
          <w:ilvl w:val="0"/>
          <w:numId w:val="26"/>
        </w:numPr>
        <w:autoSpaceDE w:val="0"/>
        <w:autoSpaceDN w:val="0"/>
        <w:adjustRightInd w:val="0"/>
        <w:spacing w:after="120"/>
        <w:contextualSpacing/>
        <w:jc w:val="both"/>
        <w:rPr>
          <w:rFonts w:ascii="Arial" w:hAnsi="Arial" w:cs="Arial"/>
          <w:lang w:val="en-US" w:eastAsia="zh-CN"/>
        </w:rPr>
      </w:pPr>
      <w:r w:rsidRPr="00830882">
        <w:rPr>
          <w:rFonts w:ascii="Arial" w:hAnsi="Arial" w:cs="Arial"/>
          <w:lang w:val="en-US" w:eastAsia="zh-CN"/>
        </w:rPr>
        <w:t>Note also that the interference is mitigated as nearby beams are using non-overlapping BWPs</w:t>
      </w:r>
    </w:p>
    <w:p w14:paraId="62CAECDB" w14:textId="77777777" w:rsidR="00EF48D6" w:rsidRPr="00830882" w:rsidRDefault="00EF48D6" w:rsidP="00EF48D6">
      <w:pPr>
        <w:rPr>
          <w:rFonts w:ascii="Arial" w:hAnsi="Arial" w:cs="Arial"/>
          <w:lang w:val="en-US" w:eastAsia="zh-CN"/>
        </w:rPr>
      </w:pPr>
    </w:p>
    <w:p w14:paraId="1DED6FCB" w14:textId="77777777" w:rsidR="00EF48D6" w:rsidRDefault="00EF48D6" w:rsidP="00EF48D6">
      <w:pPr>
        <w:jc w:val="center"/>
        <w:rPr>
          <w:lang w:val="en-US" w:eastAsia="zh-CN"/>
        </w:rPr>
      </w:pPr>
      <w:r>
        <w:rPr>
          <w:noProof/>
          <w:lang w:val="en-US"/>
        </w:rPr>
        <w:drawing>
          <wp:inline distT="0" distB="0" distL="0" distR="0" wp14:anchorId="04B164EF" wp14:editId="2479D6CE">
            <wp:extent cx="2722221" cy="3101009"/>
            <wp:effectExtent l="0" t="0" r="254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30703" cy="3110671"/>
                    </a:xfrm>
                    <a:prstGeom prst="rect">
                      <a:avLst/>
                    </a:prstGeom>
                  </pic:spPr>
                </pic:pic>
              </a:graphicData>
            </a:graphic>
          </wp:inline>
        </w:drawing>
      </w:r>
    </w:p>
    <w:p w14:paraId="38E6773E" w14:textId="0B66FADF" w:rsidR="00EF48D6" w:rsidRDefault="00481FDD" w:rsidP="00EF48D6">
      <w:pPr>
        <w:jc w:val="center"/>
        <w:rPr>
          <w:lang w:val="en-US" w:eastAsia="zh-CN"/>
        </w:rPr>
      </w:pPr>
      <w:r>
        <w:rPr>
          <w:lang w:val="en-US" w:eastAsia="zh-CN"/>
        </w:rPr>
        <w:t>Figure 2</w:t>
      </w:r>
      <w:r w:rsidR="00EF48D6">
        <w:rPr>
          <w:lang w:val="en-US" w:eastAsia="zh-CN"/>
        </w:rPr>
        <w:t xml:space="preserve">: Example of </w:t>
      </w:r>
      <w:r w:rsidR="00EF48D6" w:rsidRPr="007F7DC4">
        <w:rPr>
          <w:lang w:val="en-US" w:eastAsia="zh-CN"/>
        </w:rPr>
        <w:t>BWP Allocation for Beams</w:t>
      </w:r>
    </w:p>
    <w:p w14:paraId="570D074D" w14:textId="16DBA2F0" w:rsidR="00EF48D6" w:rsidRDefault="00EF48D6" w:rsidP="00EF48D6">
      <w:pPr>
        <w:rPr>
          <w:rFonts w:ascii="Arial" w:hAnsi="Arial" w:cs="Arial"/>
          <w:lang w:val="en-US" w:eastAsia="zh-CN"/>
        </w:rPr>
      </w:pPr>
      <w:r w:rsidRPr="00830882">
        <w:rPr>
          <w:rFonts w:ascii="Arial" w:hAnsi="Arial" w:cs="Arial"/>
          <w:lang w:val="en-US" w:eastAsia="zh-CN"/>
        </w:rPr>
        <w:t>In general, the BWPs may or may not overlap with each other in frequency domain.</w:t>
      </w:r>
      <w:r w:rsidR="00D341F3">
        <w:rPr>
          <w:rFonts w:ascii="Arial" w:hAnsi="Arial" w:cs="Arial"/>
          <w:lang w:val="en-US" w:eastAsia="zh-CN"/>
        </w:rPr>
        <w:t xml:space="preserve"> For</w:t>
      </w:r>
      <w:r w:rsidRPr="00830882">
        <w:rPr>
          <w:rFonts w:ascii="Arial" w:hAnsi="Arial" w:cs="Arial"/>
          <w:lang w:val="en-US" w:eastAsia="zh-CN"/>
        </w:rPr>
        <w:t xml:space="preserve"> a beam, the bandwidth and the frequency domain location of the active BWP may not be fixed at all time. The network may adjust the settings of the active BWP based on factors such as number of UEs and amount of data transmission in the beam. </w:t>
      </w:r>
    </w:p>
    <w:p w14:paraId="52C41C89" w14:textId="39AAD71F" w:rsidR="005378C8" w:rsidRDefault="005378C8" w:rsidP="00EF48D6">
      <w:pPr>
        <w:rPr>
          <w:rFonts w:ascii="Arial" w:hAnsi="Arial" w:cs="Arial"/>
          <w:lang w:val="en-US" w:eastAsia="zh-CN"/>
        </w:rPr>
      </w:pPr>
      <w:r>
        <w:rPr>
          <w:rFonts w:ascii="Arial" w:hAnsi="Arial" w:cs="Arial"/>
          <w:lang w:val="en-US" w:eastAsia="zh-CN"/>
        </w:rPr>
        <w:t xml:space="preserve">In connected mode, beam switching can be based on SSB measurements and/or CSI-RS measurements. Figure 3 shows the SSB and CSI-RS configuration for beam switching.  </w:t>
      </w:r>
      <w:r w:rsidRPr="005378C8">
        <w:rPr>
          <w:rFonts w:ascii="Arial" w:hAnsi="Arial" w:cs="Arial"/>
          <w:lang w:val="en-US" w:eastAsia="zh-CN"/>
        </w:rPr>
        <w:t xml:space="preserve">BWP(0) can </w:t>
      </w:r>
      <w:r>
        <w:rPr>
          <w:rFonts w:ascii="Arial" w:hAnsi="Arial" w:cs="Arial"/>
          <w:lang w:val="en-US" w:eastAsia="zh-CN"/>
        </w:rPr>
        <w:t>be used for initial cell access</w:t>
      </w:r>
      <w:r w:rsidRPr="005378C8">
        <w:rPr>
          <w:rFonts w:ascii="Arial" w:hAnsi="Arial" w:cs="Arial"/>
          <w:lang w:val="en-US" w:eastAsia="zh-CN"/>
        </w:rPr>
        <w:t xml:space="preserve"> with several beams and corresponding SSBs. For connected UE, </w:t>
      </w:r>
      <w:r w:rsidR="00EC4116">
        <w:rPr>
          <w:rFonts w:ascii="Arial" w:hAnsi="Arial" w:cs="Arial"/>
          <w:lang w:val="en-US" w:eastAsia="zh-CN"/>
        </w:rPr>
        <w:t>an active BWP(1), (2), or (3</w:t>
      </w:r>
      <w:r w:rsidRPr="005378C8">
        <w:rPr>
          <w:rFonts w:ascii="Arial" w:hAnsi="Arial" w:cs="Arial"/>
          <w:lang w:val="en-US" w:eastAsia="zh-CN"/>
        </w:rPr>
        <w:t>) can be used with several beams, with</w:t>
      </w:r>
      <w:r>
        <w:rPr>
          <w:rFonts w:ascii="Arial" w:hAnsi="Arial" w:cs="Arial"/>
          <w:lang w:val="en-US" w:eastAsia="zh-CN"/>
        </w:rPr>
        <w:t xml:space="preserve"> SIB and CSI-RS transmitted in</w:t>
      </w:r>
      <w:r w:rsidRPr="005378C8">
        <w:rPr>
          <w:rFonts w:ascii="Arial" w:hAnsi="Arial" w:cs="Arial"/>
          <w:lang w:val="en-US" w:eastAsia="zh-CN"/>
        </w:rPr>
        <w:t xml:space="preserve"> each beam. There can be several BWPs configured. One BWP is active at a time for a UE. The rel-15 beam management can be re-used with the one difference that the beams are not co-located.</w:t>
      </w:r>
    </w:p>
    <w:p w14:paraId="4B9E1D19" w14:textId="77777777" w:rsidR="005378C8" w:rsidRPr="0031379C" w:rsidRDefault="005378C8" w:rsidP="00EF48D6">
      <w:pPr>
        <w:rPr>
          <w:rFonts w:ascii="Arial" w:hAnsi="Arial" w:cs="Arial"/>
          <w:sz w:val="18"/>
          <w:lang w:val="en-US" w:eastAsia="zh-CN"/>
        </w:rPr>
      </w:pPr>
    </w:p>
    <w:p w14:paraId="1C288A82" w14:textId="7CBF7445" w:rsidR="0031379C" w:rsidRPr="0031379C" w:rsidRDefault="002220FD" w:rsidP="0031379C">
      <w:pPr>
        <w:pStyle w:val="BodyText"/>
        <w:rPr>
          <w:rFonts w:ascii="Arial" w:hAnsi="Arial" w:cs="Arial"/>
          <w:b/>
          <w:i/>
          <w:lang w:eastAsia="ko-KR"/>
        </w:rPr>
      </w:pPr>
      <w:r>
        <w:rPr>
          <w:rFonts w:ascii="Arial" w:hAnsi="Arial" w:cs="Arial"/>
          <w:b/>
          <w:i/>
          <w:lang w:eastAsia="ko-KR"/>
        </w:rPr>
        <w:t>Proposal 3</w:t>
      </w:r>
      <w:r w:rsidR="0031379C" w:rsidRPr="0031379C">
        <w:rPr>
          <w:rFonts w:ascii="Arial" w:hAnsi="Arial" w:cs="Arial"/>
          <w:b/>
          <w:i/>
          <w:lang w:eastAsia="ko-KR"/>
        </w:rPr>
        <w:t>: A bandwidth part can be used for initial cell access with several beams and corresponding SSBs.</w:t>
      </w:r>
    </w:p>
    <w:p w14:paraId="5A565DAA" w14:textId="61F8283B" w:rsidR="0031379C" w:rsidRPr="0031379C" w:rsidRDefault="002220FD" w:rsidP="0031379C">
      <w:pPr>
        <w:pStyle w:val="BodyText"/>
        <w:rPr>
          <w:rFonts w:ascii="Arial" w:hAnsi="Arial" w:cs="Arial"/>
          <w:b/>
          <w:i/>
          <w:lang w:eastAsia="ko-KR"/>
        </w:rPr>
      </w:pPr>
      <w:r>
        <w:rPr>
          <w:rFonts w:ascii="Arial" w:hAnsi="Arial" w:cs="Arial"/>
          <w:b/>
          <w:i/>
          <w:lang w:eastAsia="ko-KR"/>
        </w:rPr>
        <w:lastRenderedPageBreak/>
        <w:t>Proposal 4</w:t>
      </w:r>
      <w:r w:rsidR="0031379C" w:rsidRPr="0031379C">
        <w:rPr>
          <w:rFonts w:ascii="Arial" w:hAnsi="Arial" w:cs="Arial"/>
          <w:b/>
          <w:i/>
          <w:lang w:eastAsia="ko-KR"/>
        </w:rPr>
        <w:t>: An active ban</w:t>
      </w:r>
      <w:r w:rsidR="002D0EC4">
        <w:rPr>
          <w:rFonts w:ascii="Arial" w:hAnsi="Arial" w:cs="Arial"/>
          <w:b/>
          <w:i/>
          <w:lang w:eastAsia="ko-KR"/>
        </w:rPr>
        <w:t>dwidth part for connected UE can</w:t>
      </w:r>
      <w:r w:rsidR="0031379C" w:rsidRPr="0031379C">
        <w:rPr>
          <w:rFonts w:ascii="Arial" w:hAnsi="Arial" w:cs="Arial"/>
          <w:b/>
          <w:i/>
          <w:lang w:eastAsia="ko-KR"/>
        </w:rPr>
        <w:t xml:space="preserve"> contain one or several beams, where  SIB and CSI-RS are transmitted in each beam</w:t>
      </w:r>
    </w:p>
    <w:p w14:paraId="514CA9F1" w14:textId="77777777" w:rsidR="0031379C" w:rsidRDefault="0031379C" w:rsidP="00EF48D6">
      <w:pPr>
        <w:rPr>
          <w:rFonts w:ascii="Arial" w:hAnsi="Arial" w:cs="Arial"/>
          <w:lang w:val="en-US" w:eastAsia="zh-CN"/>
        </w:rPr>
      </w:pPr>
    </w:p>
    <w:p w14:paraId="2543C1AD" w14:textId="71D2200B" w:rsidR="005378C8" w:rsidRPr="00830882" w:rsidRDefault="00EC4116" w:rsidP="005378C8">
      <w:pPr>
        <w:jc w:val="center"/>
        <w:rPr>
          <w:rFonts w:ascii="Arial" w:hAnsi="Arial" w:cs="Arial"/>
          <w:lang w:val="en-US" w:eastAsia="zh-CN"/>
        </w:rPr>
      </w:pPr>
      <w:r>
        <w:rPr>
          <w:noProof/>
          <w:lang w:val="en-US"/>
        </w:rPr>
        <w:drawing>
          <wp:inline distT="0" distB="0" distL="0" distR="0" wp14:anchorId="25242C80" wp14:editId="670B8A39">
            <wp:extent cx="3795091" cy="2153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6726" cy="2165490"/>
                    </a:xfrm>
                    <a:prstGeom prst="rect">
                      <a:avLst/>
                    </a:prstGeom>
                  </pic:spPr>
                </pic:pic>
              </a:graphicData>
            </a:graphic>
          </wp:inline>
        </w:drawing>
      </w:r>
    </w:p>
    <w:p w14:paraId="55DEA288" w14:textId="4C6439C6" w:rsidR="00EF48D6" w:rsidRPr="00FE0E3F" w:rsidRDefault="005378C8" w:rsidP="005378C8">
      <w:pPr>
        <w:pStyle w:val="BodyText"/>
        <w:jc w:val="center"/>
        <w:rPr>
          <w:rFonts w:ascii="Arial" w:hAnsi="Arial" w:cs="Arial"/>
          <w:lang w:eastAsia="ko-KR"/>
        </w:rPr>
      </w:pPr>
      <w:r>
        <w:rPr>
          <w:rFonts w:ascii="Arial" w:hAnsi="Arial" w:cs="Arial"/>
          <w:lang w:eastAsia="ko-KR"/>
        </w:rPr>
        <w:t>Figure 3: CSI-RS configuration for beam switching</w:t>
      </w:r>
    </w:p>
    <w:p w14:paraId="1BBE6FA9" w14:textId="77777777" w:rsidR="0031379C" w:rsidRPr="00FE0E3F" w:rsidRDefault="0031379C" w:rsidP="00225FE0">
      <w:pPr>
        <w:pStyle w:val="BodyText"/>
        <w:rPr>
          <w:rFonts w:ascii="Arial" w:hAnsi="Arial" w:cs="Arial"/>
          <w:sz w:val="22"/>
          <w:lang w:eastAsia="ko-KR"/>
        </w:rPr>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65C5E6DC" w14:textId="6F3D5D56" w:rsidR="00914AE0" w:rsidRPr="00FE0E3F" w:rsidRDefault="00B53DB0" w:rsidP="007279AC">
      <w:pPr>
        <w:spacing w:line="276" w:lineRule="auto"/>
        <w:rPr>
          <w:rFonts w:ascii="Arial" w:eastAsia="SimSun" w:hAnsi="Arial" w:cs="Arial"/>
          <w:lang w:val="en-US"/>
        </w:rPr>
      </w:pPr>
      <w:r w:rsidRPr="00FE0E3F">
        <w:rPr>
          <w:rFonts w:ascii="Arial" w:eastAsia="SimSun" w:hAnsi="Arial" w:cs="Arial"/>
          <w:lang w:val="en-US"/>
        </w:rPr>
        <w:t>In this</w:t>
      </w:r>
      <w:r w:rsidR="00645845" w:rsidRPr="00FE0E3F">
        <w:rPr>
          <w:rFonts w:ascii="Arial" w:eastAsia="SimSun" w:hAnsi="Arial" w:cs="Arial"/>
          <w:lang w:val="en-US"/>
        </w:rPr>
        <w:t xml:space="preserve"> contribution, we </w:t>
      </w:r>
      <w:r w:rsidR="00F01E97" w:rsidRPr="00FE0E3F">
        <w:rPr>
          <w:rFonts w:ascii="Arial" w:eastAsia="SimSun" w:hAnsi="Arial" w:cs="Arial"/>
          <w:lang w:val="en-US"/>
        </w:rPr>
        <w:t>discuss</w:t>
      </w:r>
      <w:r w:rsidR="00C533C3" w:rsidRPr="00FE0E3F">
        <w:rPr>
          <w:rFonts w:ascii="Arial" w:eastAsia="SimSun" w:hAnsi="Arial" w:cs="Arial"/>
          <w:lang w:val="en-US"/>
        </w:rPr>
        <w:t>ed</w:t>
      </w:r>
      <w:r w:rsidR="00F01E97" w:rsidRPr="00FE0E3F">
        <w:rPr>
          <w:rFonts w:ascii="Arial" w:eastAsia="SimSun" w:hAnsi="Arial" w:cs="Arial"/>
          <w:lang w:val="en-US"/>
        </w:rPr>
        <w:t xml:space="preserve"> </w:t>
      </w:r>
      <w:r w:rsidR="005934C4" w:rsidRPr="00FE0E3F">
        <w:rPr>
          <w:rFonts w:ascii="Arial" w:eastAsia="SimSun" w:hAnsi="Arial" w:cs="Arial"/>
          <w:lang w:val="en-US"/>
        </w:rPr>
        <w:t>physical layer control procedures. We made the following observations and proposals</w:t>
      </w:r>
    </w:p>
    <w:p w14:paraId="19F8924C" w14:textId="0ED3E33D" w:rsidR="00856F93" w:rsidRPr="00FE0E3F" w:rsidRDefault="007531CF" w:rsidP="00856F93">
      <w:pPr>
        <w:pStyle w:val="BodyText"/>
        <w:rPr>
          <w:rFonts w:ascii="Arial" w:hAnsi="Arial" w:cs="Arial"/>
          <w:u w:val="single"/>
          <w:lang w:eastAsia="ko-KR"/>
        </w:rPr>
      </w:pPr>
      <w:r w:rsidRPr="00FE0E3F">
        <w:rPr>
          <w:rFonts w:ascii="Arial" w:hAnsi="Arial" w:cs="Arial"/>
          <w:u w:val="single"/>
          <w:lang w:eastAsia="ko-KR"/>
        </w:rPr>
        <w:t xml:space="preserve">Discussion on </w:t>
      </w:r>
      <w:r w:rsidR="00856F93" w:rsidRPr="00FE0E3F">
        <w:rPr>
          <w:rFonts w:ascii="Arial" w:hAnsi="Arial" w:cs="Arial"/>
          <w:u w:val="single"/>
          <w:lang w:eastAsia="ko-KR"/>
        </w:rPr>
        <w:t>UL Power control</w:t>
      </w:r>
      <w:r w:rsidRPr="00FE0E3F">
        <w:rPr>
          <w:rFonts w:ascii="Arial" w:hAnsi="Arial" w:cs="Arial"/>
          <w:u w:val="single"/>
          <w:lang w:eastAsia="ko-KR"/>
        </w:rPr>
        <w:t xml:space="preserve"> for NTN</w:t>
      </w:r>
    </w:p>
    <w:p w14:paraId="44C2B94E" w14:textId="77777777" w:rsidR="002220FD" w:rsidRPr="00FE0E3F" w:rsidRDefault="002220FD" w:rsidP="002220FD">
      <w:pPr>
        <w:pStyle w:val="BodyText"/>
        <w:rPr>
          <w:rFonts w:ascii="Arial" w:hAnsi="Arial" w:cs="Arial"/>
          <w:b/>
          <w:i/>
          <w:lang w:eastAsia="ko-KR"/>
        </w:rPr>
      </w:pPr>
      <w:r w:rsidRPr="00FE0E3F">
        <w:rPr>
          <w:rFonts w:ascii="Arial" w:hAnsi="Arial" w:cs="Arial"/>
          <w:b/>
          <w:i/>
          <w:lang w:eastAsia="ko-KR"/>
        </w:rPr>
        <w:t>Observation 1: UE transmission power headroom and long RTD limits effectiveness of closed-loop UL power control.</w:t>
      </w:r>
    </w:p>
    <w:p w14:paraId="7D4BC384" w14:textId="77777777" w:rsidR="002220FD" w:rsidRPr="00FE0E3F" w:rsidRDefault="002220FD" w:rsidP="002220FD">
      <w:pPr>
        <w:pStyle w:val="BodyText"/>
        <w:rPr>
          <w:rFonts w:ascii="Arial" w:hAnsi="Arial" w:cs="Arial"/>
          <w:b/>
          <w:i/>
          <w:lang w:eastAsia="ko-KR"/>
        </w:rPr>
      </w:pPr>
      <w:r w:rsidRPr="00FE0E3F">
        <w:rPr>
          <w:rFonts w:ascii="Arial" w:hAnsi="Arial" w:cs="Arial"/>
          <w:b/>
          <w:i/>
          <w:lang w:eastAsia="ko-KR"/>
        </w:rPr>
        <w:t xml:space="preserve">Proposal 1: </w:t>
      </w:r>
      <w:r w:rsidRPr="00FE0E3F">
        <w:rPr>
          <w:rFonts w:ascii="Arial" w:eastAsiaTheme="minorEastAsia" w:hAnsi="Arial" w:cs="Arial"/>
          <w:b/>
          <w:i/>
        </w:rPr>
        <w:t xml:space="preserve">The </w:t>
      </w:r>
      <w:r>
        <w:rPr>
          <w:rFonts w:ascii="Arial" w:eastAsiaTheme="minorEastAsia" w:hAnsi="Arial" w:cs="Arial"/>
          <w:b/>
          <w:i/>
        </w:rPr>
        <w:t xml:space="preserve">open-loop UL power control parameters </w:t>
      </w:r>
      <w:r w:rsidRPr="00FE0E3F">
        <w:rPr>
          <w:rFonts w:ascii="Arial" w:hAnsi="Arial" w:cs="Arial"/>
          <w:b/>
          <w:i/>
          <w:lang w:eastAsia="ko-KR"/>
        </w:rPr>
        <w:t xml:space="preserve">power offset P0 </w:t>
      </w:r>
      <w:r>
        <w:rPr>
          <w:rFonts w:ascii="Arial" w:hAnsi="Arial" w:cs="Arial"/>
          <w:b/>
          <w:i/>
          <w:lang w:eastAsia="ko-KR"/>
        </w:rPr>
        <w:t xml:space="preserve">is beam specific </w:t>
      </w:r>
      <w:r w:rsidRPr="00FE0E3F">
        <w:rPr>
          <w:rFonts w:ascii="Arial" w:hAnsi="Arial" w:cs="Arial"/>
          <w:b/>
          <w:i/>
          <w:lang w:eastAsia="ko-KR"/>
        </w:rPr>
        <w:t xml:space="preserve">and fractional compensator factor </w:t>
      </w:r>
      <m:oMath>
        <m:sSub>
          <m:sSubPr>
            <m:ctrlPr>
              <w:rPr>
                <w:rFonts w:ascii="Cambria Math" w:hAnsi="Cambria Math" w:cs="Arial"/>
                <w:b/>
                <w:i/>
              </w:rPr>
            </m:ctrlPr>
          </m:sSubPr>
          <m:e>
            <m:r>
              <m:rPr>
                <m:sty m:val="bi"/>
              </m:rPr>
              <w:rPr>
                <w:rFonts w:ascii="Cambria Math" w:hAnsi="Cambria Math" w:cs="Arial"/>
              </w:rPr>
              <m:t>α</m:t>
            </m:r>
          </m:e>
          <m:sub>
            <m:r>
              <m:rPr>
                <m:sty m:val="bi"/>
              </m:rPr>
              <w:rPr>
                <w:rFonts w:ascii="Cambria Math" w:hAnsi="Cambria Math" w:cs="Arial"/>
              </w:rPr>
              <m:t>b,f,c</m:t>
            </m:r>
          </m:sub>
        </m:sSub>
        <m:r>
          <m:rPr>
            <m:sty m:val="bi"/>
          </m:rPr>
          <w:rPr>
            <w:rFonts w:ascii="Cambria Math" w:hAnsi="Cambria Math" w:cs="Arial"/>
          </w:rPr>
          <m:t>(j)</m:t>
        </m:r>
      </m:oMath>
      <w:r w:rsidRPr="00FE0E3F">
        <w:rPr>
          <w:rFonts w:ascii="Arial" w:eastAsiaTheme="minorEastAsia" w:hAnsi="Arial" w:cs="Arial"/>
          <w:b/>
          <w:i/>
        </w:rPr>
        <w:t xml:space="preserve"> </w:t>
      </w:r>
      <w:r>
        <w:rPr>
          <w:rFonts w:ascii="Arial" w:eastAsiaTheme="minorEastAsia" w:hAnsi="Arial" w:cs="Arial"/>
          <w:b/>
          <w:i/>
        </w:rPr>
        <w:t>is common for all UEs</w:t>
      </w:r>
      <w:r w:rsidRPr="00FE0E3F">
        <w:rPr>
          <w:rFonts w:ascii="Arial" w:hAnsi="Arial" w:cs="Arial"/>
          <w:b/>
          <w:i/>
          <w:lang w:eastAsia="ko-KR"/>
        </w:rPr>
        <w:t>.</w:t>
      </w:r>
    </w:p>
    <w:p w14:paraId="1E97EE11" w14:textId="753A7723" w:rsidR="00481FDD" w:rsidRPr="00481FDD" w:rsidRDefault="00481FDD" w:rsidP="00856F93">
      <w:pPr>
        <w:pStyle w:val="BodyText"/>
        <w:rPr>
          <w:rFonts w:ascii="Arial" w:hAnsi="Arial" w:cs="Arial"/>
          <w:u w:val="single"/>
          <w:lang w:eastAsia="ko-KR"/>
        </w:rPr>
      </w:pPr>
      <w:r w:rsidRPr="00481FDD">
        <w:rPr>
          <w:rFonts w:ascii="Arial" w:hAnsi="Arial" w:cs="Arial"/>
          <w:u w:val="single"/>
          <w:lang w:eastAsia="ko-KR"/>
        </w:rPr>
        <w:t>Discussion on beam management</w:t>
      </w:r>
    </w:p>
    <w:p w14:paraId="15693676" w14:textId="77777777" w:rsidR="00830882" w:rsidRPr="00830882" w:rsidRDefault="00830882" w:rsidP="00830882">
      <w:pPr>
        <w:pStyle w:val="BodyText"/>
        <w:rPr>
          <w:rFonts w:ascii="Arial" w:hAnsi="Arial" w:cs="Arial"/>
          <w:b/>
          <w:i/>
          <w:lang w:eastAsia="ko-KR"/>
        </w:rPr>
      </w:pPr>
      <w:r w:rsidRPr="00830882">
        <w:rPr>
          <w:rFonts w:ascii="Arial" w:hAnsi="Arial" w:cs="Arial"/>
          <w:b/>
          <w:i/>
          <w:lang w:eastAsia="ko-KR"/>
        </w:rPr>
        <w:t>Observation 2: With option ‘a’ with one PCI mapped to multiple beams and one SSB mapped per beam, the difference with rel-15 NR beam management is that the beams are in different location with no or only partial overlap.</w:t>
      </w:r>
    </w:p>
    <w:p w14:paraId="005B1B3F" w14:textId="00B7E399" w:rsidR="00830882" w:rsidRPr="00830882" w:rsidRDefault="00830882" w:rsidP="00830882">
      <w:pPr>
        <w:pStyle w:val="BodyText"/>
        <w:rPr>
          <w:rFonts w:ascii="Arial" w:hAnsi="Arial" w:cs="Arial"/>
          <w:b/>
          <w:i/>
          <w:lang w:eastAsia="ko-KR"/>
        </w:rPr>
      </w:pPr>
      <w:r w:rsidRPr="00830882">
        <w:rPr>
          <w:rFonts w:ascii="Arial" w:hAnsi="Arial" w:cs="Arial"/>
          <w:b/>
          <w:i/>
          <w:lang w:eastAsia="ko-KR"/>
        </w:rPr>
        <w:t xml:space="preserve">Proposal </w:t>
      </w:r>
      <w:r w:rsidR="002220FD">
        <w:rPr>
          <w:rFonts w:ascii="Arial" w:hAnsi="Arial" w:cs="Arial"/>
          <w:b/>
          <w:i/>
          <w:lang w:eastAsia="ko-KR"/>
        </w:rPr>
        <w:t>2</w:t>
      </w:r>
      <w:r w:rsidRPr="00830882">
        <w:rPr>
          <w:rFonts w:ascii="Arial" w:hAnsi="Arial" w:cs="Arial"/>
          <w:b/>
          <w:i/>
          <w:lang w:eastAsia="ko-KR"/>
        </w:rPr>
        <w:t>: Option “a” with one PCI mapped to multiple beams and one SSB mapped per beam is used with rel-15 NR beam management.</w:t>
      </w:r>
    </w:p>
    <w:p w14:paraId="4594B6ED" w14:textId="6E7D6489" w:rsidR="00481FDD" w:rsidRPr="00830882" w:rsidRDefault="00830882" w:rsidP="00830882">
      <w:pPr>
        <w:pStyle w:val="BodyText"/>
        <w:rPr>
          <w:rFonts w:ascii="Arial" w:hAnsi="Arial" w:cs="Arial"/>
          <w:b/>
          <w:i/>
          <w:lang w:eastAsia="ko-KR"/>
        </w:rPr>
      </w:pPr>
      <w:r w:rsidRPr="00830882">
        <w:rPr>
          <w:rFonts w:ascii="Arial" w:hAnsi="Arial" w:cs="Arial"/>
          <w:b/>
          <w:i/>
          <w:lang w:eastAsia="ko-KR"/>
        </w:rPr>
        <w:t xml:space="preserve">Proposal </w:t>
      </w:r>
      <w:r w:rsidR="002220FD">
        <w:rPr>
          <w:rFonts w:ascii="Arial" w:hAnsi="Arial" w:cs="Arial"/>
          <w:b/>
          <w:i/>
          <w:lang w:eastAsia="ko-KR"/>
        </w:rPr>
        <w:t>3</w:t>
      </w:r>
      <w:r w:rsidRPr="00830882">
        <w:rPr>
          <w:rFonts w:ascii="Arial" w:hAnsi="Arial" w:cs="Arial"/>
          <w:b/>
          <w:i/>
          <w:lang w:eastAsia="ko-KR"/>
        </w:rPr>
        <w:t>: The concept of BWP can be used for frequency resource allocation among NTN beams. Network may configure a specific active BWP for UEs in a beam (all UEs in a beam are associated with the same active BWP). Different beams may be a</w:t>
      </w:r>
      <w:bookmarkStart w:id="3" w:name="_GoBack"/>
      <w:bookmarkEnd w:id="3"/>
      <w:r w:rsidRPr="00830882">
        <w:rPr>
          <w:rFonts w:ascii="Arial" w:hAnsi="Arial" w:cs="Arial"/>
          <w:b/>
          <w:i/>
          <w:lang w:eastAsia="ko-KR"/>
        </w:rPr>
        <w:t>ssociated with different active BWPs</w:t>
      </w:r>
    </w:p>
    <w:p w14:paraId="3E5424B1" w14:textId="600C3D2A" w:rsidR="0031379C" w:rsidRPr="0031379C" w:rsidRDefault="002220FD" w:rsidP="0031379C">
      <w:pPr>
        <w:pStyle w:val="BodyText"/>
        <w:rPr>
          <w:rFonts w:ascii="Arial" w:hAnsi="Arial" w:cs="Arial"/>
          <w:b/>
          <w:i/>
          <w:lang w:eastAsia="ko-KR"/>
        </w:rPr>
      </w:pPr>
      <w:r>
        <w:rPr>
          <w:rFonts w:ascii="Arial" w:hAnsi="Arial" w:cs="Arial"/>
          <w:b/>
          <w:i/>
          <w:lang w:eastAsia="ko-KR"/>
        </w:rPr>
        <w:t>Proposal 4</w:t>
      </w:r>
      <w:r w:rsidR="0031379C" w:rsidRPr="0031379C">
        <w:rPr>
          <w:rFonts w:ascii="Arial" w:hAnsi="Arial" w:cs="Arial"/>
          <w:b/>
          <w:i/>
          <w:lang w:eastAsia="ko-KR"/>
        </w:rPr>
        <w:t>: A bandwidth part can be used for initial cell access with several beams and corresponding SSBs.</w:t>
      </w:r>
    </w:p>
    <w:p w14:paraId="3D105D4A" w14:textId="2721BBA0" w:rsidR="0031379C" w:rsidRPr="0031379C" w:rsidRDefault="002220FD" w:rsidP="0031379C">
      <w:pPr>
        <w:pStyle w:val="BodyText"/>
        <w:rPr>
          <w:rFonts w:ascii="Arial" w:hAnsi="Arial" w:cs="Arial"/>
          <w:b/>
          <w:i/>
          <w:lang w:eastAsia="ko-KR"/>
        </w:rPr>
      </w:pPr>
      <w:r>
        <w:rPr>
          <w:rFonts w:ascii="Arial" w:hAnsi="Arial" w:cs="Arial"/>
          <w:b/>
          <w:i/>
          <w:lang w:eastAsia="ko-KR"/>
        </w:rPr>
        <w:t>Proposal 5</w:t>
      </w:r>
      <w:r w:rsidR="0031379C" w:rsidRPr="0031379C">
        <w:rPr>
          <w:rFonts w:ascii="Arial" w:hAnsi="Arial" w:cs="Arial"/>
          <w:b/>
          <w:i/>
          <w:lang w:eastAsia="ko-KR"/>
        </w:rPr>
        <w:t>: An active ban</w:t>
      </w:r>
      <w:r w:rsidR="002D0EC4">
        <w:rPr>
          <w:rFonts w:ascii="Arial" w:hAnsi="Arial" w:cs="Arial"/>
          <w:b/>
          <w:i/>
          <w:lang w:eastAsia="ko-KR"/>
        </w:rPr>
        <w:t>dwidth part for connected UE can</w:t>
      </w:r>
      <w:r w:rsidR="0031379C" w:rsidRPr="0031379C">
        <w:rPr>
          <w:rFonts w:ascii="Arial" w:hAnsi="Arial" w:cs="Arial"/>
          <w:b/>
          <w:i/>
          <w:lang w:eastAsia="ko-KR"/>
        </w:rPr>
        <w:t xml:space="preserve"> contain one or several beams, where  SIB and CSI-RS are transmitted in each beam</w:t>
      </w:r>
    </w:p>
    <w:p w14:paraId="47B713AC" w14:textId="77777777" w:rsidR="00982E8A" w:rsidRPr="00FE0E3F" w:rsidRDefault="00982E8A"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lastRenderedPageBreak/>
        <w:t>References</w:t>
      </w:r>
    </w:p>
    <w:p w14:paraId="0B3F6EFB" w14:textId="37D783F9" w:rsidR="006B562D" w:rsidRPr="00FE0E3F" w:rsidRDefault="00FC197A" w:rsidP="00FC197A">
      <w:pPr>
        <w:pStyle w:val="ListParagraph"/>
        <w:numPr>
          <w:ilvl w:val="0"/>
          <w:numId w:val="2"/>
        </w:numPr>
        <w:rPr>
          <w:rFonts w:ascii="Arial" w:hAnsi="Arial" w:cs="Arial"/>
          <w:lang w:val="en-US"/>
        </w:rPr>
      </w:pPr>
      <w:r w:rsidRPr="00FE0E3F">
        <w:rPr>
          <w:rFonts w:ascii="Arial" w:hAnsi="Arial" w:cs="Arial"/>
          <w:lang w:val="en-US"/>
        </w:rPr>
        <w:t>RP-181370, Thales,  Study on solutions evaluation for NR to support Non Terrestrial Network, SID, RAN#80, June 2018</w:t>
      </w:r>
    </w:p>
    <w:p w14:paraId="3EE6D072" w14:textId="361F93AB" w:rsidR="00FC197A" w:rsidRPr="00FE0E3F" w:rsidRDefault="00FC197A" w:rsidP="00FC197A">
      <w:pPr>
        <w:pStyle w:val="ListParagraph"/>
        <w:numPr>
          <w:ilvl w:val="0"/>
          <w:numId w:val="2"/>
        </w:numPr>
        <w:rPr>
          <w:rFonts w:ascii="Arial" w:hAnsi="Arial" w:cs="Arial"/>
          <w:lang w:val="en-US"/>
        </w:rPr>
      </w:pPr>
      <w:r w:rsidRPr="00FE0E3F">
        <w:rPr>
          <w:rFonts w:ascii="Arial" w:hAnsi="Arial" w:cs="Arial"/>
          <w:lang w:val="en-US"/>
        </w:rPr>
        <w:t>TR38.811 “Study on NR to support non-terrestrial networks”</w:t>
      </w:r>
    </w:p>
    <w:p w14:paraId="430F6E16" w14:textId="6233E4DB" w:rsidR="00264F41" w:rsidRPr="00FE0E3F" w:rsidRDefault="00FC197A" w:rsidP="00D64E04">
      <w:pPr>
        <w:pStyle w:val="ListParagraph"/>
        <w:numPr>
          <w:ilvl w:val="0"/>
          <w:numId w:val="2"/>
        </w:numPr>
        <w:rPr>
          <w:rFonts w:ascii="Arial" w:hAnsi="Arial" w:cs="Arial"/>
          <w:lang w:val="en-US"/>
        </w:rPr>
      </w:pPr>
      <w:r w:rsidRPr="00FE0E3F">
        <w:rPr>
          <w:rFonts w:ascii="Arial" w:hAnsi="Arial" w:cs="Arial"/>
          <w:lang w:val="en-US"/>
        </w:rPr>
        <w:t>TR 38.821 “Solutions for NR to support non-terrestrial networks”</w:t>
      </w:r>
    </w:p>
    <w:p w14:paraId="1195867F" w14:textId="2F28A2F5" w:rsidR="003E241D" w:rsidRPr="00FE0E3F" w:rsidRDefault="00741187" w:rsidP="00741187">
      <w:pPr>
        <w:pStyle w:val="ListParagraph"/>
        <w:numPr>
          <w:ilvl w:val="0"/>
          <w:numId w:val="2"/>
        </w:numPr>
        <w:rPr>
          <w:rFonts w:ascii="Arial" w:hAnsi="Arial" w:cs="Arial"/>
          <w:lang w:val="en-US"/>
        </w:rPr>
      </w:pPr>
      <w:r w:rsidRPr="00FE0E3F">
        <w:rPr>
          <w:rFonts w:ascii="Arial" w:hAnsi="Arial" w:cs="Arial"/>
          <w:lang w:val="en-US"/>
        </w:rPr>
        <w:t>R1-1909985, MediaTek, Link budget of NR NTN, RAN1#98bis, Chongqing, China, October 2019</w:t>
      </w:r>
    </w:p>
    <w:p w14:paraId="6281EB94" w14:textId="77777777" w:rsidR="00D869A4" w:rsidRPr="00FE0E3F" w:rsidRDefault="00D869A4" w:rsidP="00823970">
      <w:pPr>
        <w:rPr>
          <w:rFonts w:ascii="Arial" w:hAnsi="Arial" w:cs="Arial"/>
          <w:lang w:val="en-US" w:eastAsia="zh-TW"/>
        </w:rPr>
      </w:pPr>
    </w:p>
    <w:sectPr w:rsidR="00D869A4" w:rsidRPr="00FE0E3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B8F85" w14:textId="77777777" w:rsidR="00694A67" w:rsidRDefault="00694A67">
      <w:r>
        <w:separator/>
      </w:r>
    </w:p>
  </w:endnote>
  <w:endnote w:type="continuationSeparator" w:id="0">
    <w:p w14:paraId="0DBF97C7" w14:textId="77777777" w:rsidR="00694A67" w:rsidRDefault="0069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8D03F" w14:textId="77777777" w:rsidR="00694A67" w:rsidRDefault="00694A67">
      <w:r>
        <w:separator/>
      </w:r>
    </w:p>
  </w:footnote>
  <w:footnote w:type="continuationSeparator" w:id="0">
    <w:p w14:paraId="18C2775D" w14:textId="77777777" w:rsidR="00694A67" w:rsidRDefault="00694A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13C98"/>
    <w:multiLevelType w:val="hybridMultilevel"/>
    <w:tmpl w:val="8AE2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9"/>
  </w:num>
  <w:num w:numId="4">
    <w:abstractNumId w:val="7"/>
  </w:num>
  <w:num w:numId="5">
    <w:abstractNumId w:val="13"/>
  </w:num>
  <w:num w:numId="6">
    <w:abstractNumId w:val="15"/>
  </w:num>
  <w:num w:numId="7">
    <w:abstractNumId w:val="11"/>
  </w:num>
  <w:num w:numId="8">
    <w:abstractNumId w:val="10"/>
  </w:num>
  <w:num w:numId="9">
    <w:abstractNumId w:val="9"/>
  </w:num>
  <w:num w:numId="10">
    <w:abstractNumId w:val="3"/>
  </w:num>
  <w:num w:numId="11">
    <w:abstractNumId w:val="9"/>
  </w:num>
  <w:num w:numId="12">
    <w:abstractNumId w:val="9"/>
  </w:num>
  <w:num w:numId="13">
    <w:abstractNumId w:val="9"/>
  </w:num>
  <w:num w:numId="14">
    <w:abstractNumId w:val="9"/>
  </w:num>
  <w:num w:numId="15">
    <w:abstractNumId w:val="6"/>
  </w:num>
  <w:num w:numId="16">
    <w:abstractNumId w:val="12"/>
  </w:num>
  <w:num w:numId="17">
    <w:abstractNumId w:val="8"/>
  </w:num>
  <w:num w:numId="18">
    <w:abstractNumId w:val="17"/>
  </w:num>
  <w:num w:numId="19">
    <w:abstractNumId w:val="1"/>
  </w:num>
  <w:num w:numId="20">
    <w:abstractNumId w:val="14"/>
  </w:num>
  <w:num w:numId="21">
    <w:abstractNumId w:val="18"/>
  </w:num>
  <w:num w:numId="22">
    <w:abstractNumId w:val="5"/>
  </w:num>
  <w:num w:numId="23">
    <w:abstractNumId w:val="16"/>
  </w:num>
  <w:num w:numId="24">
    <w:abstractNumId w:val="9"/>
  </w:num>
  <w:num w:numId="25">
    <w:abstractNumId w:val="9"/>
  </w:num>
  <w:num w:numId="26">
    <w:abstractNumId w:val="0"/>
  </w:num>
  <w:num w:numId="2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528"/>
    <w:rsid w:val="00004B5C"/>
    <w:rsid w:val="000054AF"/>
    <w:rsid w:val="0000797A"/>
    <w:rsid w:val="00011D0E"/>
    <w:rsid w:val="000121C0"/>
    <w:rsid w:val="00014BCA"/>
    <w:rsid w:val="00015569"/>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2E29"/>
    <w:rsid w:val="00053BDB"/>
    <w:rsid w:val="00053C5F"/>
    <w:rsid w:val="00054D06"/>
    <w:rsid w:val="00055697"/>
    <w:rsid w:val="00056973"/>
    <w:rsid w:val="000576A7"/>
    <w:rsid w:val="00057DC0"/>
    <w:rsid w:val="000626D9"/>
    <w:rsid w:val="00063B2B"/>
    <w:rsid w:val="000646D3"/>
    <w:rsid w:val="00065840"/>
    <w:rsid w:val="00065B1A"/>
    <w:rsid w:val="000672B2"/>
    <w:rsid w:val="0006733D"/>
    <w:rsid w:val="00071834"/>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0FAA"/>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0FD"/>
    <w:rsid w:val="0022237A"/>
    <w:rsid w:val="002223A7"/>
    <w:rsid w:val="00222699"/>
    <w:rsid w:val="00222897"/>
    <w:rsid w:val="002240BE"/>
    <w:rsid w:val="0022456E"/>
    <w:rsid w:val="00225FE0"/>
    <w:rsid w:val="002264C6"/>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1695"/>
    <w:rsid w:val="00252EB7"/>
    <w:rsid w:val="00253CD8"/>
    <w:rsid w:val="002549FC"/>
    <w:rsid w:val="00256945"/>
    <w:rsid w:val="002570A5"/>
    <w:rsid w:val="00257500"/>
    <w:rsid w:val="00257F24"/>
    <w:rsid w:val="0026179F"/>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0EC4"/>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379C"/>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1DCC"/>
    <w:rsid w:val="00377B02"/>
    <w:rsid w:val="00381E61"/>
    <w:rsid w:val="00382F79"/>
    <w:rsid w:val="00384502"/>
    <w:rsid w:val="003879EA"/>
    <w:rsid w:val="00390666"/>
    <w:rsid w:val="0039066E"/>
    <w:rsid w:val="00390935"/>
    <w:rsid w:val="003925B1"/>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4DF7"/>
    <w:rsid w:val="003C5797"/>
    <w:rsid w:val="003C6806"/>
    <w:rsid w:val="003C7C79"/>
    <w:rsid w:val="003D0233"/>
    <w:rsid w:val="003D187B"/>
    <w:rsid w:val="003D1EED"/>
    <w:rsid w:val="003D1F33"/>
    <w:rsid w:val="003D3659"/>
    <w:rsid w:val="003D40E4"/>
    <w:rsid w:val="003D4535"/>
    <w:rsid w:val="003D5DA3"/>
    <w:rsid w:val="003D716A"/>
    <w:rsid w:val="003D763C"/>
    <w:rsid w:val="003E040F"/>
    <w:rsid w:val="003E05F6"/>
    <w:rsid w:val="003E1E73"/>
    <w:rsid w:val="003E241D"/>
    <w:rsid w:val="003E2DB0"/>
    <w:rsid w:val="003E3434"/>
    <w:rsid w:val="003E39EA"/>
    <w:rsid w:val="003E4FFB"/>
    <w:rsid w:val="003E5EAB"/>
    <w:rsid w:val="003E5F52"/>
    <w:rsid w:val="003E6A58"/>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1FDD"/>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27D"/>
    <w:rsid w:val="004B34BE"/>
    <w:rsid w:val="004B3C4D"/>
    <w:rsid w:val="004B4EF0"/>
    <w:rsid w:val="004B5C7C"/>
    <w:rsid w:val="004B65B3"/>
    <w:rsid w:val="004B6C95"/>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378C8"/>
    <w:rsid w:val="005400D0"/>
    <w:rsid w:val="005406D9"/>
    <w:rsid w:val="005412AC"/>
    <w:rsid w:val="00547A1C"/>
    <w:rsid w:val="00551B47"/>
    <w:rsid w:val="00551E65"/>
    <w:rsid w:val="0055300A"/>
    <w:rsid w:val="005534EE"/>
    <w:rsid w:val="00553AE6"/>
    <w:rsid w:val="00553BF8"/>
    <w:rsid w:val="00554E86"/>
    <w:rsid w:val="00556011"/>
    <w:rsid w:val="00556974"/>
    <w:rsid w:val="00556A55"/>
    <w:rsid w:val="00556CF2"/>
    <w:rsid w:val="00561966"/>
    <w:rsid w:val="00563111"/>
    <w:rsid w:val="0056452C"/>
    <w:rsid w:val="00564539"/>
    <w:rsid w:val="00564E01"/>
    <w:rsid w:val="00565333"/>
    <w:rsid w:val="00571E87"/>
    <w:rsid w:val="005724AC"/>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403"/>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4A67"/>
    <w:rsid w:val="00695826"/>
    <w:rsid w:val="006A0FD4"/>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1187"/>
    <w:rsid w:val="007428EA"/>
    <w:rsid w:val="00743747"/>
    <w:rsid w:val="00744542"/>
    <w:rsid w:val="00744707"/>
    <w:rsid w:val="00744EEC"/>
    <w:rsid w:val="0074577E"/>
    <w:rsid w:val="007459EC"/>
    <w:rsid w:val="00750F62"/>
    <w:rsid w:val="00751D28"/>
    <w:rsid w:val="00753075"/>
    <w:rsid w:val="007531CF"/>
    <w:rsid w:val="00755538"/>
    <w:rsid w:val="00755A47"/>
    <w:rsid w:val="00755EDF"/>
    <w:rsid w:val="007602AE"/>
    <w:rsid w:val="00762643"/>
    <w:rsid w:val="00763228"/>
    <w:rsid w:val="00763BFB"/>
    <w:rsid w:val="007644DE"/>
    <w:rsid w:val="0076592F"/>
    <w:rsid w:val="00766CCD"/>
    <w:rsid w:val="00767D60"/>
    <w:rsid w:val="00770342"/>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30882"/>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140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2EE"/>
    <w:rsid w:val="00894A86"/>
    <w:rsid w:val="00894B51"/>
    <w:rsid w:val="00895A68"/>
    <w:rsid w:val="008A0232"/>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3F3D"/>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BAE"/>
    <w:rsid w:val="00974B38"/>
    <w:rsid w:val="00974CD3"/>
    <w:rsid w:val="00975596"/>
    <w:rsid w:val="00975E6C"/>
    <w:rsid w:val="00982D8B"/>
    <w:rsid w:val="00982E8A"/>
    <w:rsid w:val="00983910"/>
    <w:rsid w:val="00984413"/>
    <w:rsid w:val="009849B6"/>
    <w:rsid w:val="009853B6"/>
    <w:rsid w:val="009873A2"/>
    <w:rsid w:val="00987779"/>
    <w:rsid w:val="0099099B"/>
    <w:rsid w:val="00991EC4"/>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0D3"/>
    <w:rsid w:val="009B710B"/>
    <w:rsid w:val="009C0495"/>
    <w:rsid w:val="009C0727"/>
    <w:rsid w:val="009C13D5"/>
    <w:rsid w:val="009C5587"/>
    <w:rsid w:val="009C5A3F"/>
    <w:rsid w:val="009C7A70"/>
    <w:rsid w:val="009D14BC"/>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500D"/>
    <w:rsid w:val="00A46DA8"/>
    <w:rsid w:val="00A47527"/>
    <w:rsid w:val="00A50379"/>
    <w:rsid w:val="00A512CB"/>
    <w:rsid w:val="00A51344"/>
    <w:rsid w:val="00A5255F"/>
    <w:rsid w:val="00A5266B"/>
    <w:rsid w:val="00A5364F"/>
    <w:rsid w:val="00A546BB"/>
    <w:rsid w:val="00A550FF"/>
    <w:rsid w:val="00A5590B"/>
    <w:rsid w:val="00A566E3"/>
    <w:rsid w:val="00A56E39"/>
    <w:rsid w:val="00A61177"/>
    <w:rsid w:val="00A616DE"/>
    <w:rsid w:val="00A64E33"/>
    <w:rsid w:val="00A64E87"/>
    <w:rsid w:val="00A6590A"/>
    <w:rsid w:val="00A6636A"/>
    <w:rsid w:val="00A66CB6"/>
    <w:rsid w:val="00A67FF4"/>
    <w:rsid w:val="00A7005C"/>
    <w:rsid w:val="00A7008F"/>
    <w:rsid w:val="00A701AF"/>
    <w:rsid w:val="00A701CF"/>
    <w:rsid w:val="00A70460"/>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6E62"/>
    <w:rsid w:val="00AF7262"/>
    <w:rsid w:val="00B00D72"/>
    <w:rsid w:val="00B00D97"/>
    <w:rsid w:val="00B0477E"/>
    <w:rsid w:val="00B06B6F"/>
    <w:rsid w:val="00B06E40"/>
    <w:rsid w:val="00B07FAB"/>
    <w:rsid w:val="00B10251"/>
    <w:rsid w:val="00B125AA"/>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469"/>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31"/>
    <w:rsid w:val="00BE1360"/>
    <w:rsid w:val="00BE2152"/>
    <w:rsid w:val="00BE21E9"/>
    <w:rsid w:val="00BE2338"/>
    <w:rsid w:val="00BE2E66"/>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D1A"/>
    <w:rsid w:val="00C47FB1"/>
    <w:rsid w:val="00C50DB6"/>
    <w:rsid w:val="00C51F3E"/>
    <w:rsid w:val="00C528EB"/>
    <w:rsid w:val="00C52BDA"/>
    <w:rsid w:val="00C533C3"/>
    <w:rsid w:val="00C559F4"/>
    <w:rsid w:val="00C55A94"/>
    <w:rsid w:val="00C66897"/>
    <w:rsid w:val="00C67DDB"/>
    <w:rsid w:val="00C70B8A"/>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3C2C"/>
    <w:rsid w:val="00CE4360"/>
    <w:rsid w:val="00CE5CB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31C83"/>
    <w:rsid w:val="00D341F3"/>
    <w:rsid w:val="00D34DEE"/>
    <w:rsid w:val="00D3628C"/>
    <w:rsid w:val="00D408C5"/>
    <w:rsid w:val="00D41014"/>
    <w:rsid w:val="00D4313E"/>
    <w:rsid w:val="00D43C41"/>
    <w:rsid w:val="00D449ED"/>
    <w:rsid w:val="00D44B8C"/>
    <w:rsid w:val="00D45054"/>
    <w:rsid w:val="00D45FD5"/>
    <w:rsid w:val="00D46AF6"/>
    <w:rsid w:val="00D47D83"/>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38B7"/>
    <w:rsid w:val="00E8629F"/>
    <w:rsid w:val="00E870B6"/>
    <w:rsid w:val="00E87634"/>
    <w:rsid w:val="00E8766D"/>
    <w:rsid w:val="00E920D8"/>
    <w:rsid w:val="00E92846"/>
    <w:rsid w:val="00E93697"/>
    <w:rsid w:val="00E95081"/>
    <w:rsid w:val="00EA0F19"/>
    <w:rsid w:val="00EA1AD5"/>
    <w:rsid w:val="00EA1E1D"/>
    <w:rsid w:val="00EA1E26"/>
    <w:rsid w:val="00EA2004"/>
    <w:rsid w:val="00EA271B"/>
    <w:rsid w:val="00EA31C1"/>
    <w:rsid w:val="00EA383B"/>
    <w:rsid w:val="00EA3C24"/>
    <w:rsid w:val="00EA4465"/>
    <w:rsid w:val="00EA497A"/>
    <w:rsid w:val="00EA5997"/>
    <w:rsid w:val="00EA5E4B"/>
    <w:rsid w:val="00EB013C"/>
    <w:rsid w:val="00EB04FF"/>
    <w:rsid w:val="00EB0BD0"/>
    <w:rsid w:val="00EB1F08"/>
    <w:rsid w:val="00EB5B01"/>
    <w:rsid w:val="00EC01DE"/>
    <w:rsid w:val="00EC14A9"/>
    <w:rsid w:val="00EC29BD"/>
    <w:rsid w:val="00EC2ADA"/>
    <w:rsid w:val="00EC4116"/>
    <w:rsid w:val="00EC565F"/>
    <w:rsid w:val="00EC6CF4"/>
    <w:rsid w:val="00EC7418"/>
    <w:rsid w:val="00ED066D"/>
    <w:rsid w:val="00ED1172"/>
    <w:rsid w:val="00ED1FFA"/>
    <w:rsid w:val="00ED23DF"/>
    <w:rsid w:val="00ED3565"/>
    <w:rsid w:val="00ED42D8"/>
    <w:rsid w:val="00ED4B91"/>
    <w:rsid w:val="00ED5501"/>
    <w:rsid w:val="00ED5A57"/>
    <w:rsid w:val="00ED6F5B"/>
    <w:rsid w:val="00ED74E9"/>
    <w:rsid w:val="00ED7FBD"/>
    <w:rsid w:val="00EE013D"/>
    <w:rsid w:val="00EE084A"/>
    <w:rsid w:val="00EE15C1"/>
    <w:rsid w:val="00EE1EE0"/>
    <w:rsid w:val="00EE2BDD"/>
    <w:rsid w:val="00EE3E05"/>
    <w:rsid w:val="00EE52FC"/>
    <w:rsid w:val="00EE56F6"/>
    <w:rsid w:val="00EE5B78"/>
    <w:rsid w:val="00EE6FD1"/>
    <w:rsid w:val="00EE78ED"/>
    <w:rsid w:val="00EE793A"/>
    <w:rsid w:val="00EE7947"/>
    <w:rsid w:val="00EE7D27"/>
    <w:rsid w:val="00EF48D6"/>
    <w:rsid w:val="00EF575B"/>
    <w:rsid w:val="00EF5DA7"/>
    <w:rsid w:val="00EF69DC"/>
    <w:rsid w:val="00F001FA"/>
    <w:rsid w:val="00F01E97"/>
    <w:rsid w:val="00F02B54"/>
    <w:rsid w:val="00F031EF"/>
    <w:rsid w:val="00F03452"/>
    <w:rsid w:val="00F035EB"/>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1987"/>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5EBA"/>
    <w:rsid w:val="00F96BEB"/>
    <w:rsid w:val="00F9767B"/>
    <w:rsid w:val="00F9790A"/>
    <w:rsid w:val="00FA02FC"/>
    <w:rsid w:val="00FA149C"/>
    <w:rsid w:val="00FA18EF"/>
    <w:rsid w:val="00FA1E72"/>
    <w:rsid w:val="00FA2514"/>
    <w:rsid w:val="00FA2E4F"/>
    <w:rsid w:val="00FA3174"/>
    <w:rsid w:val="00FA3792"/>
    <w:rsid w:val="00FA482B"/>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F43F08F1-3A19-40A2-852D-5B960EA15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5003</TotalTime>
  <Pages>5</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10355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347</cp:revision>
  <cp:lastPrinted>2019-11-06T11:21:00Z</cp:lastPrinted>
  <dcterms:created xsi:type="dcterms:W3CDTF">2018-08-07T07:16:00Z</dcterms:created>
  <dcterms:modified xsi:type="dcterms:W3CDTF">2019-11-08T17:23:00Z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